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57E" w:rsidRPr="0053757E" w:rsidRDefault="0053757E" w:rsidP="0053757E">
      <w:pPr>
        <w:autoSpaceDE w:val="0"/>
        <w:autoSpaceDN w:val="0"/>
        <w:adjustRightInd w:val="0"/>
        <w:jc w:val="center"/>
        <w:outlineLvl w:val="1"/>
        <w:rPr>
          <w:rFonts w:asciiTheme="majorHAnsi" w:eastAsia="SimSun" w:hAnsiTheme="majorHAnsi"/>
          <w:b/>
          <w:bCs/>
          <w:color w:val="365F91" w:themeColor="accent1" w:themeShade="BF"/>
          <w:sz w:val="32"/>
          <w:szCs w:val="32"/>
          <w:lang w:eastAsia="zh-CN"/>
        </w:rPr>
      </w:pPr>
      <w:bookmarkStart w:id="0" w:name="_Toc419471234"/>
      <w:bookmarkStart w:id="1" w:name="_Toc419471511"/>
      <w:bookmarkStart w:id="2" w:name="_Toc419471756"/>
      <w:bookmarkStart w:id="3" w:name="_Toc419472833"/>
      <w:r w:rsidRPr="0053757E">
        <w:rPr>
          <w:rFonts w:asciiTheme="majorHAnsi" w:eastAsia="SimSun" w:hAnsiTheme="majorHAnsi"/>
          <w:b/>
          <w:bCs/>
          <w:color w:val="365F91" w:themeColor="accent1" w:themeShade="BF"/>
          <w:sz w:val="32"/>
          <w:szCs w:val="32"/>
          <w:lang w:eastAsia="zh-CN"/>
        </w:rPr>
        <w:t>Technical information sheet for the proposed SDG indicator “Proportion of households with broadband Internet access, by urban/rural”</w:t>
      </w:r>
      <w:bookmarkEnd w:id="0"/>
      <w:bookmarkEnd w:id="1"/>
      <w:bookmarkEnd w:id="2"/>
      <w:bookmarkEnd w:id="3"/>
    </w:p>
    <w:p w:rsidR="0053757E" w:rsidRPr="0053757E" w:rsidRDefault="0053757E" w:rsidP="0053757E">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53757E" w:rsidRPr="0053757E" w:rsidRDefault="0053757E" w:rsidP="0053757E">
      <w:pPr>
        <w:autoSpaceDE w:val="0"/>
        <w:autoSpaceDN w:val="0"/>
        <w:adjustRightInd w:val="0"/>
        <w:outlineLvl w:val="1"/>
        <w:rPr>
          <w:rFonts w:asciiTheme="minorHAnsi" w:eastAsia="SimSun" w:hAnsiTheme="minorHAnsi"/>
          <w:b/>
          <w:bCs/>
          <w:color w:val="auto"/>
          <w:sz w:val="32"/>
          <w:szCs w:val="32"/>
          <w:lang w:eastAsia="zh-CN"/>
        </w:rPr>
      </w:pPr>
      <w:bookmarkStart w:id="4" w:name="_Toc419471235"/>
      <w:r w:rsidRPr="0053757E">
        <w:rPr>
          <w:rFonts w:asciiTheme="majorHAnsi" w:eastAsiaTheme="majorEastAsia" w:hAnsiTheme="majorHAnsi" w:cstheme="majorBidi"/>
          <w:b/>
          <w:bCs/>
          <w:color w:val="365F91" w:themeColor="accent1" w:themeShade="BF"/>
          <w:sz w:val="28"/>
          <w:szCs w:val="28"/>
          <w:lang w:eastAsia="ja-JP"/>
        </w:rPr>
        <w:t>Goal and target addressed</w:t>
      </w:r>
      <w:bookmarkEnd w:id="4"/>
    </w:p>
    <w:p w:rsidR="0053757E" w:rsidRPr="0053757E" w:rsidRDefault="0053757E" w:rsidP="0053757E">
      <w:pPr>
        <w:rPr>
          <w:rFonts w:asciiTheme="minorHAnsi" w:eastAsia="MS Mincho" w:hAnsiTheme="minorHAnsi"/>
          <w:color w:val="auto"/>
          <w:lang w:eastAsia="ja-JP"/>
        </w:rPr>
      </w:pPr>
      <w:bookmarkStart w:id="5" w:name="_Toc419471236"/>
      <w:bookmarkStart w:id="6" w:name="_Toc419471757"/>
      <w:bookmarkStart w:id="7" w:name="_Toc419472834"/>
      <w:r w:rsidRPr="0053757E">
        <w:rPr>
          <w:rFonts w:asciiTheme="minorHAnsi" w:eastAsia="MS Mincho" w:hAnsiTheme="minorHAnsi"/>
          <w:color w:val="auto"/>
          <w:lang w:eastAsia="ja-JP"/>
        </w:rPr>
        <w:t>Goal 9: Build resilient infrastructure, promote inclusive and sustainable industrialization and foster innovation</w:t>
      </w:r>
      <w:bookmarkEnd w:id="5"/>
      <w:bookmarkEnd w:id="6"/>
      <w:bookmarkEnd w:id="7"/>
    </w:p>
    <w:p w:rsidR="0053757E" w:rsidRPr="0053757E" w:rsidRDefault="0053757E" w:rsidP="0053757E">
      <w:pPr>
        <w:rPr>
          <w:rFonts w:asciiTheme="minorHAnsi" w:eastAsia="MS Mincho" w:hAnsiTheme="minorHAnsi"/>
          <w:color w:val="auto"/>
          <w:lang w:eastAsia="zh-CN"/>
        </w:rPr>
      </w:pPr>
      <w:bookmarkStart w:id="8" w:name="_Toc419471237"/>
      <w:bookmarkStart w:id="9" w:name="_Toc419471758"/>
      <w:bookmarkStart w:id="10" w:name="_Toc419472835"/>
      <w:r w:rsidRPr="0053757E">
        <w:rPr>
          <w:rFonts w:asciiTheme="minorHAnsi" w:eastAsia="MS Mincho" w:hAnsiTheme="minorHAnsi"/>
          <w:color w:val="auto"/>
          <w:lang w:eastAsia="ja-JP"/>
        </w:rPr>
        <w:t>Target 9.1: develop quality, reliable, sustainable and resilient infrastructure, including regional and trans-border infrastructure, to support economic development and human well-being, with a focus on affordable and equitable access for all</w:t>
      </w:r>
      <w:bookmarkEnd w:id="8"/>
      <w:bookmarkEnd w:id="9"/>
      <w:bookmarkEnd w:id="10"/>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11" w:name="_Toc419471238"/>
      <w:r w:rsidRPr="0053757E">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11"/>
    </w:p>
    <w:p w:rsidR="0053757E" w:rsidRPr="0053757E" w:rsidRDefault="0053757E" w:rsidP="0053757E">
      <w:pPr>
        <w:rPr>
          <w:rFonts w:asciiTheme="minorHAnsi" w:eastAsiaTheme="minorEastAsia" w:hAnsiTheme="minorHAnsi" w:cs="Arial"/>
          <w:color w:val="auto"/>
          <w:lang w:val="en-US"/>
        </w:rPr>
      </w:pPr>
      <w:r w:rsidRPr="0053757E">
        <w:rPr>
          <w:rFonts w:asciiTheme="minorHAnsi" w:eastAsia="MS Mincho" w:hAnsiTheme="minorHAnsi"/>
          <w:color w:val="auto"/>
          <w:lang w:val="en-US"/>
        </w:rPr>
        <w:t xml:space="preserve">This indicator </w:t>
      </w:r>
      <w:r w:rsidRPr="0053757E">
        <w:rPr>
          <w:rFonts w:asciiTheme="minorHAnsi" w:eastAsia="MS Mincho" w:hAnsiTheme="minorHAnsi"/>
          <w:i/>
          <w:iCs/>
          <w:color w:val="auto"/>
          <w:lang w:val="en-US"/>
        </w:rPr>
        <w:t>proportion of</w:t>
      </w:r>
      <w:r w:rsidRPr="0053757E">
        <w:rPr>
          <w:rFonts w:asciiTheme="minorHAnsi" w:eastAsia="MS Mincho" w:hAnsiTheme="minorHAnsi"/>
          <w:color w:val="auto"/>
          <w:lang w:val="en-US"/>
        </w:rPr>
        <w:t xml:space="preserve"> </w:t>
      </w:r>
      <w:r w:rsidRPr="0053757E">
        <w:rPr>
          <w:rFonts w:asciiTheme="minorHAnsi" w:eastAsia="MS Mincho" w:hAnsiTheme="minorHAnsi"/>
          <w:i/>
          <w:iCs/>
          <w:color w:val="auto"/>
          <w:lang w:val="en-US"/>
        </w:rPr>
        <w:t>households with broadband Internet access, by urban/rural</w:t>
      </w:r>
      <w:r w:rsidRPr="0053757E">
        <w:rPr>
          <w:rFonts w:asciiTheme="minorHAnsi" w:eastAsia="MS Mincho" w:hAnsiTheme="minorHAnsi"/>
          <w:color w:val="auto"/>
          <w:lang w:val="en-US"/>
        </w:rPr>
        <w:t xml:space="preserve"> is defined as the proportion of </w:t>
      </w:r>
      <w:r w:rsidRPr="0053757E">
        <w:rPr>
          <w:rFonts w:asciiTheme="minorHAnsi" w:eastAsiaTheme="minorEastAsia" w:hAnsiTheme="minorHAnsi" w:cs="Arial"/>
          <w:color w:val="auto"/>
          <w:lang w:val="en-US"/>
        </w:rPr>
        <w:t xml:space="preserve">households with broadband Internet access using different types of broadband services. Broadband is defined as technologies that deliver advertised download speeds </w:t>
      </w:r>
      <w:proofErr w:type="gramStart"/>
      <w:r w:rsidRPr="0053757E">
        <w:rPr>
          <w:rFonts w:asciiTheme="minorHAnsi" w:eastAsiaTheme="minorEastAsia" w:hAnsiTheme="minorHAnsi" w:cs="Arial"/>
          <w:color w:val="auto"/>
          <w:lang w:val="en-US"/>
        </w:rPr>
        <w:t xml:space="preserve">of at least 256 </w:t>
      </w:r>
      <w:proofErr w:type="spellStart"/>
      <w:r w:rsidRPr="0053757E">
        <w:rPr>
          <w:rFonts w:asciiTheme="minorHAnsi" w:eastAsiaTheme="minorEastAsia" w:hAnsiTheme="minorHAnsi" w:cs="Arial"/>
          <w:color w:val="auto"/>
          <w:lang w:val="en-US"/>
        </w:rPr>
        <w:t>kbit</w:t>
      </w:r>
      <w:proofErr w:type="spellEnd"/>
      <w:r w:rsidRPr="0053757E">
        <w:rPr>
          <w:rFonts w:asciiTheme="minorHAnsi" w:eastAsiaTheme="minorEastAsia" w:hAnsiTheme="minorHAnsi" w:cs="Arial"/>
          <w:color w:val="auto"/>
          <w:lang w:val="en-US"/>
        </w:rPr>
        <w:t>/s</w:t>
      </w:r>
      <w:proofErr w:type="gramEnd"/>
      <w:r w:rsidRPr="0053757E">
        <w:rPr>
          <w:rFonts w:asciiTheme="minorHAnsi" w:eastAsiaTheme="minorEastAsia" w:hAnsiTheme="minorHAnsi" w:cs="Arial"/>
          <w:color w:val="auto"/>
          <w:lang w:val="en-US"/>
        </w:rPr>
        <w:t>. The main types of broadband services are:</w:t>
      </w:r>
    </w:p>
    <w:p w:rsidR="0053757E" w:rsidRPr="0053757E" w:rsidRDefault="0053757E" w:rsidP="0053757E">
      <w:pPr>
        <w:rPr>
          <w:rFonts w:asciiTheme="minorHAnsi" w:eastAsiaTheme="minorEastAsia" w:hAnsiTheme="minorHAnsi" w:cs="Arial"/>
          <w:color w:val="auto"/>
          <w:lang w:val="en-US"/>
        </w:rPr>
      </w:pP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 xml:space="preserve">Fixed (wired) broadband network, such as DSL, cable modem, high speed leased lines, </w:t>
      </w:r>
      <w:proofErr w:type="spellStart"/>
      <w:r w:rsidRPr="0053757E">
        <w:rPr>
          <w:rFonts w:asciiTheme="minorHAnsi" w:eastAsiaTheme="minorEastAsia" w:hAnsiTheme="minorHAnsi" w:cs="Arial"/>
          <w:color w:val="auto"/>
          <w:lang w:val="en-US"/>
        </w:rPr>
        <w:t>fibre</w:t>
      </w:r>
      <w:proofErr w:type="spellEnd"/>
      <w:r w:rsidRPr="0053757E">
        <w:rPr>
          <w:rFonts w:asciiTheme="minorHAnsi" w:eastAsiaTheme="minorEastAsia" w:hAnsiTheme="minorHAnsi" w:cs="Arial"/>
          <w:color w:val="auto"/>
          <w:lang w:val="en-US"/>
        </w:rPr>
        <w:t xml:space="preserve">-to-the-home/building, </w:t>
      </w:r>
      <w:proofErr w:type="spellStart"/>
      <w:r w:rsidRPr="0053757E">
        <w:rPr>
          <w:rFonts w:asciiTheme="minorHAnsi" w:eastAsiaTheme="minorEastAsia" w:hAnsiTheme="minorHAnsi" w:cs="Arial"/>
          <w:color w:val="auto"/>
          <w:lang w:val="en-US"/>
        </w:rPr>
        <w:t>powerline</w:t>
      </w:r>
      <w:proofErr w:type="spellEnd"/>
      <w:r w:rsidRPr="0053757E">
        <w:rPr>
          <w:rFonts w:asciiTheme="minorHAnsi" w:eastAsiaTheme="minorEastAsia" w:hAnsiTheme="minorHAnsi" w:cs="Arial"/>
          <w:color w:val="auto"/>
          <w:lang w:val="en-US"/>
        </w:rPr>
        <w:t xml:space="preserve"> and other fixed (wired) broadband</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Terrestrial fixed (wireless) broadband network, such as WiMAX, fixed CDMA</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Satellite broadband network (via a satellite connection)</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Mobile broadband network (at least 3G, e.g. UMTS) via a handset</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Mobile broadband network (at least 3G, e.g. UMTS) via a card (e.g. integrated SIM card in a computer) or USB modem</w:t>
      </w:r>
    </w:p>
    <w:p w:rsidR="0053757E" w:rsidRPr="0053757E" w:rsidRDefault="0053757E" w:rsidP="0053757E">
      <w:pPr>
        <w:rPr>
          <w:rFonts w:asciiTheme="minorHAnsi" w:eastAsia="MS Mincho" w:hAnsiTheme="minorHAnsi"/>
          <w:color w:val="auto"/>
          <w:lang w:val="en-US"/>
        </w:rPr>
      </w:pP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Arial"/>
          <w:color w:val="auto"/>
          <w:lang w:val="en-US"/>
        </w:rPr>
        <w:t xml:space="preserve">The </w:t>
      </w:r>
      <w:r w:rsidRPr="0053757E">
        <w:rPr>
          <w:rFonts w:asciiTheme="minorHAnsi" w:eastAsiaTheme="minorEastAsia" w:hAnsiTheme="minorHAnsi" w:cs="Arial"/>
          <w:i/>
          <w:iCs/>
          <w:color w:val="auto"/>
          <w:lang w:val="en-US"/>
        </w:rPr>
        <w:t xml:space="preserve">Internet </w:t>
      </w:r>
      <w:r w:rsidRPr="0053757E">
        <w:rPr>
          <w:rFonts w:asciiTheme="minorHAnsi" w:eastAsiaTheme="minorEastAsia" w:hAnsiTheme="minorHAnsi" w:cs="Arial"/>
          <w:color w:val="auto"/>
          <w:lang w:val="en-US"/>
        </w:rPr>
        <w:t xml:space="preserve">is a worldwide public computer network. It provides access to a number of communication services including the World Wide Web and carries e-mail, news, entertainment and data files, irrespective of the device used (not assumed to be only via a computer </w:t>
      </w: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 xml:space="preserve">it may also be by mobile telephone, tablet, PDA, games machine, digital TV etc.). Access can be via a fixed or mobile network. </w:t>
      </w:r>
    </w:p>
    <w:p w:rsidR="0053757E" w:rsidRPr="0053757E" w:rsidRDefault="0053757E" w:rsidP="0053757E">
      <w:pPr>
        <w:rPr>
          <w:rFonts w:asciiTheme="minorHAnsi" w:eastAsia="MS Mincho" w:hAnsiTheme="minorHAnsi"/>
          <w:color w:val="auto"/>
          <w:lang w:val="en-US"/>
        </w:rPr>
      </w:pPr>
    </w:p>
    <w:p w:rsidR="0053757E" w:rsidRPr="0053757E" w:rsidRDefault="0053757E" w:rsidP="0053757E">
      <w:pPr>
        <w:rPr>
          <w:rFonts w:asciiTheme="minorHAnsi" w:eastAsiaTheme="minorEastAsia" w:hAnsiTheme="minorHAnsi" w:cs="Arial"/>
          <w:color w:val="auto"/>
          <w:lang w:val="en-US"/>
        </w:rPr>
      </w:pPr>
      <w:r w:rsidRPr="0053757E">
        <w:rPr>
          <w:rFonts w:asciiTheme="minorHAnsi" w:eastAsia="MS Mincho" w:hAnsiTheme="minorHAnsi"/>
          <w:color w:val="auto"/>
          <w:lang w:val="en-US"/>
        </w:rPr>
        <w:t xml:space="preserve">Data for this indicator can be collected through an official national household survey, by asking about household access to the Internet, broken down by type of Internet service (which can also include narrowband Internet access). </w:t>
      </w:r>
      <w:r w:rsidRPr="0053757E">
        <w:rPr>
          <w:rFonts w:asciiTheme="minorHAnsi" w:eastAsiaTheme="minorEastAsia" w:hAnsiTheme="minorHAnsi" w:cs="Arial"/>
          <w:color w:val="auto"/>
          <w:lang w:val="en-US"/>
        </w:rPr>
        <w:t>The number of in-scope households with Internet access by a given type of service is calculated by aggregating the weighted responses for each type of service. Proportions are expressed as percentages and are calculated by dividing the number of in-scope households with a given type of Internet service by either the total number of in-scope households with Internet or by the total number of in-scope households, and then multiplying the result by 100.</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2" w:name="_Toc419471239"/>
      <w:r w:rsidRPr="0053757E">
        <w:rPr>
          <w:rFonts w:asciiTheme="majorHAnsi" w:eastAsiaTheme="majorEastAsia" w:hAnsiTheme="majorHAnsi" w:cstheme="majorBidi"/>
          <w:b/>
          <w:bCs/>
          <w:color w:val="365F91" w:themeColor="accent1" w:themeShade="BF"/>
          <w:sz w:val="28"/>
          <w:szCs w:val="28"/>
          <w:lang w:eastAsia="ja-JP"/>
        </w:rPr>
        <w:lastRenderedPageBreak/>
        <w:t>Rationale and interpretation</w:t>
      </w:r>
      <w:bookmarkEnd w:id="12"/>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Internet access, and in particular broadband Internet access, has become a key infrastructure, a key pillar to industrialization and a fundamental driver for innovation. It is an important driver for economic growth and development and can help foster well-being, in particular by delivering a growing number of services and applications, including in the areas of business, health, education and governance. The number of Internet users has increased substantially over the last decade and access to the Internet has changed the way people live, communicate, work and do business. Internet uptake is a key indicator tracked by policy makers and others to measure track development.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Despite growth in networks, services and applications, information and communication technology (ICT) access and use is still far from equally distributed, and many people cannot yet benefit from the potential of the Internet. By 2015, less than 50 per cent of households in the world had access to the Internet, and thus limiting the benefits that Internet access can deliver. The indicator highlights the importance of Internet use as a development enabler and helps to measure the digital divide, which, if not properly addressed, will aggravate inequalities in all development domains.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A breakdown of this indicator by urban/rural households can help identify digital divides between urban and rural areas. </w:t>
      </w:r>
      <w:r w:rsidRPr="0053757E">
        <w:rPr>
          <w:rFonts w:asciiTheme="minorHAnsi" w:eastAsiaTheme="minorEastAsia" w:hAnsiTheme="minorHAnsi" w:cs="Arial"/>
          <w:color w:val="auto"/>
          <w:lang w:val="en-US"/>
        </w:rPr>
        <w:t>This information can contribute to the design of targeted policies to overcome those divides.</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3" w:name="_Toc419471240"/>
      <w:r w:rsidRPr="0053757E">
        <w:rPr>
          <w:rFonts w:asciiTheme="majorHAnsi" w:eastAsiaTheme="majorEastAsia" w:hAnsiTheme="majorHAnsi" w:cstheme="majorBidi"/>
          <w:b/>
          <w:bCs/>
          <w:color w:val="365F91" w:themeColor="accent1" w:themeShade="BF"/>
          <w:sz w:val="28"/>
          <w:szCs w:val="28"/>
          <w:lang w:eastAsia="ja-JP"/>
        </w:rPr>
        <w:t>Sources and data collection</w:t>
      </w:r>
      <w:bookmarkEnd w:id="13"/>
    </w:p>
    <w:p w:rsidR="0053757E" w:rsidRPr="0053757E" w:rsidRDefault="0053757E" w:rsidP="0053757E">
      <w:pPr>
        <w:rPr>
          <w:rFonts w:asciiTheme="minorHAnsi" w:eastAsiaTheme="minorEastAsia" w:hAnsiTheme="minorHAnsi" w:cs="Arial"/>
          <w:color w:val="auto"/>
          <w:lang w:val="en-US"/>
        </w:rPr>
      </w:pPr>
      <w:r w:rsidRPr="0053757E">
        <w:rPr>
          <w:rFonts w:asciiTheme="minorHAnsi" w:eastAsiaTheme="minorEastAsia" w:hAnsiTheme="minorHAnsi" w:cs="Arial"/>
          <w:color w:val="auto"/>
          <w:lang w:val="en-US"/>
        </w:rPr>
        <w:t xml:space="preserve">The indicator on </w:t>
      </w:r>
      <w:r w:rsidRPr="0053757E">
        <w:rPr>
          <w:rFonts w:asciiTheme="minorHAnsi" w:eastAsiaTheme="minorEastAsia" w:hAnsiTheme="minorHAnsi" w:cs="Arial"/>
          <w:i/>
          <w:iCs/>
          <w:color w:val="auto"/>
          <w:lang w:val="en-US"/>
        </w:rPr>
        <w:t>proportion of</w:t>
      </w:r>
      <w:r w:rsidRPr="0053757E">
        <w:rPr>
          <w:rFonts w:asciiTheme="minorHAnsi" w:eastAsiaTheme="minorEastAsia" w:hAnsiTheme="minorHAnsi" w:cs="Arial"/>
          <w:color w:val="auto"/>
          <w:lang w:val="en-US"/>
        </w:rPr>
        <w:t xml:space="preserve"> </w:t>
      </w:r>
      <w:r w:rsidRPr="0053757E">
        <w:rPr>
          <w:rFonts w:asciiTheme="minorHAnsi" w:eastAsia="MS Mincho" w:hAnsiTheme="minorHAnsi"/>
          <w:i/>
          <w:iCs/>
          <w:color w:val="auto"/>
          <w:lang w:val="en-US"/>
        </w:rPr>
        <w:t>households with broadband Internet access, by urban/rural</w:t>
      </w:r>
      <w:r w:rsidRPr="0053757E" w:rsidDel="008B09D2">
        <w:rPr>
          <w:rFonts w:asciiTheme="minorHAnsi" w:eastAsiaTheme="minorEastAsia" w:hAnsiTheme="minorHAnsi" w:cs="Arial"/>
          <w:color w:val="auto"/>
          <w:lang w:val="en-US"/>
        </w:rPr>
        <w:t xml:space="preserve"> </w:t>
      </w:r>
      <w:r w:rsidRPr="0053757E">
        <w:rPr>
          <w:rFonts w:asciiTheme="minorHAnsi" w:eastAsia="MS Mincho" w:hAnsiTheme="minorHAnsi"/>
          <w:color w:val="auto"/>
          <w:lang w:val="en-US"/>
        </w:rPr>
        <w:t xml:space="preserve">is based on an internationally agreed definition and methodology, which have been developed under the coordination of ITU, through its Expert Groups and following an extensive consultation process with countries. It is </w:t>
      </w:r>
      <w:r w:rsidRPr="0053757E">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w:t>
      </w:r>
      <w:r w:rsidRPr="0053757E">
        <w:rPr>
          <w:rFonts w:asciiTheme="minorHAnsi" w:eastAsiaTheme="minorEastAsia" w:hAnsiTheme="minorHAnsi" w:cs="Arial"/>
          <w:color w:val="auto"/>
          <w:lang w:val="en-US"/>
        </w:rPr>
        <w:t xml:space="preserve">The </w:t>
      </w:r>
      <w:r w:rsidRPr="0053757E">
        <w:rPr>
          <w:rFonts w:asciiTheme="minorHAnsi" w:eastAsiaTheme="minorEastAsia" w:hAnsiTheme="minorHAnsi" w:cs="Arial"/>
          <w:i/>
          <w:iCs/>
          <w:color w:val="auto"/>
          <w:lang w:val="en-US"/>
        </w:rPr>
        <w:t>percentage of households with Internet access</w:t>
      </w:r>
      <w:r w:rsidRPr="0053757E">
        <w:rPr>
          <w:rFonts w:asciiTheme="minorHAnsi" w:eastAsiaTheme="minorEastAsia" w:hAnsiTheme="minorHAnsi" w:cs="Arial"/>
          <w:color w:val="auto"/>
          <w:lang w:val="en-US"/>
        </w:rPr>
        <w:t xml:space="preserve"> is also included in the ITU ICT Development Index, and thus considered a key metric for international comparisons of ICT developments.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Data on the </w:t>
      </w:r>
      <w:r w:rsidRPr="0053757E">
        <w:rPr>
          <w:rFonts w:asciiTheme="minorHAnsi" w:eastAsia="MS Mincho" w:hAnsiTheme="minorHAnsi"/>
          <w:i/>
          <w:iCs/>
          <w:color w:val="auto"/>
          <w:lang w:eastAsia="ja-JP"/>
        </w:rPr>
        <w:t xml:space="preserve">proportion of </w:t>
      </w:r>
      <w:r w:rsidRPr="0053757E">
        <w:rPr>
          <w:rFonts w:asciiTheme="minorHAnsi" w:eastAsia="MS Mincho" w:hAnsiTheme="minorHAnsi"/>
          <w:i/>
          <w:iCs/>
          <w:color w:val="auto"/>
          <w:lang w:val="en-US"/>
        </w:rPr>
        <w:t>households with broadband Internet access, by urban/rural</w:t>
      </w:r>
      <w:r w:rsidRPr="0053757E" w:rsidDel="008B09D2">
        <w:rPr>
          <w:rFonts w:asciiTheme="minorHAnsi" w:eastAsia="MS Mincho" w:hAnsiTheme="minorHAnsi"/>
          <w:color w:val="auto"/>
          <w:lang w:eastAsia="ja-JP"/>
        </w:rPr>
        <w:t xml:space="preserve"> </w:t>
      </w:r>
      <w:r w:rsidRPr="0053757E">
        <w:rPr>
          <w:rFonts w:asciiTheme="minorHAnsi" w:eastAsia="MS Mincho" w:hAnsiTheme="minorHAnsi"/>
          <w:color w:val="auto"/>
          <w:lang w:eastAsia="ja-JP"/>
        </w:rPr>
        <w:t xml:space="preserve">are collected through an annual questionnaire that ITU sends to national statistical offices (NSO). In this questionnaire ITU collects absolute values. The percentages are calculated a-posteriori.  The survey methodology is verified to ensure that it meets adequate statistical standards. The data are verified to ensure consistency with previous years’ data and situation of the country for other related indicators (ICT and economic).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Some countries conduct a household survey where the question on </w:t>
      </w:r>
      <w:r w:rsidRPr="0053757E">
        <w:rPr>
          <w:rFonts w:asciiTheme="minorHAnsi" w:eastAsia="MS Mincho" w:hAnsiTheme="minorHAnsi"/>
          <w:i/>
          <w:iCs/>
          <w:color w:val="auto"/>
          <w:lang w:val="en-US"/>
        </w:rPr>
        <w:t>households with broadband Internet access</w:t>
      </w:r>
      <w:r w:rsidRPr="0053757E">
        <w:rPr>
          <w:rFonts w:asciiTheme="minorHAnsi" w:eastAsia="MS Mincho" w:hAnsiTheme="minorHAnsi"/>
          <w:color w:val="auto"/>
          <w:lang w:val="en-US" w:eastAsia="ja-JP"/>
        </w:rPr>
        <w:t xml:space="preserve"> is included every year. </w:t>
      </w:r>
      <w:r w:rsidRPr="0053757E">
        <w:rPr>
          <w:rFonts w:asciiTheme="minorHAnsi" w:eastAsia="MS Mincho" w:hAnsiTheme="minorHAnsi"/>
          <w:color w:val="auto"/>
          <w:lang w:eastAsia="ja-JP"/>
        </w:rPr>
        <w:t>For others, the frequency is every two or three years. Overall, the indicator is available for 53 countries at least from one survey in the years 2011-2014.</w:t>
      </w:r>
    </w:p>
    <w:p w:rsidR="0053757E" w:rsidRPr="0053757E" w:rsidRDefault="0053757E" w:rsidP="0053757E">
      <w:pPr>
        <w:rPr>
          <w:rFonts w:asciiTheme="minorHAnsi" w:eastAsia="MS Mincho" w:hAnsiTheme="minorHAnsi"/>
          <w:color w:val="FF0000"/>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ITU produces data on the </w:t>
      </w:r>
      <w:r w:rsidRPr="0053757E">
        <w:rPr>
          <w:rFonts w:asciiTheme="minorHAnsi" w:eastAsia="MS Mincho" w:hAnsiTheme="minorHAnsi"/>
          <w:i/>
          <w:iCs/>
          <w:color w:val="auto"/>
          <w:lang w:eastAsia="ja-JP"/>
        </w:rPr>
        <w:t>proportion of households with Internet access</w:t>
      </w:r>
      <w:r w:rsidRPr="0053757E">
        <w:rPr>
          <w:rFonts w:asciiTheme="minorHAnsi" w:eastAsia="MS Mincho" w:hAnsiTheme="minorHAnsi"/>
          <w:color w:val="auto"/>
          <w:lang w:eastAsia="ja-JP"/>
        </w:rPr>
        <w:t xml:space="preserve"> (not broken down by narrowband/broadband) for almost 200 economies. </w:t>
      </w:r>
      <w:r w:rsidRPr="0053757E">
        <w:rPr>
          <w:rFonts w:asciiTheme="minorHAnsi" w:eastAsiaTheme="minorEastAsia" w:hAnsiTheme="minorHAnsi" w:cs="Arial"/>
          <w:color w:val="auto"/>
          <w:lang w:val="en-US"/>
        </w:rPr>
        <w:t xml:space="preserve">Survey data for the </w:t>
      </w:r>
      <w:r w:rsidRPr="0053757E">
        <w:rPr>
          <w:rFonts w:asciiTheme="minorHAnsi" w:eastAsiaTheme="minorEastAsia" w:hAnsiTheme="minorHAnsi" w:cs="Arial"/>
          <w:i/>
          <w:iCs/>
          <w:color w:val="auto"/>
          <w:lang w:val="en-US"/>
        </w:rPr>
        <w:t>proportion of households with Internet access</w:t>
      </w:r>
      <w:r w:rsidRPr="0053757E">
        <w:rPr>
          <w:rFonts w:asciiTheme="minorHAnsi" w:eastAsiaTheme="minorEastAsia" w:hAnsiTheme="minorHAnsi" w:cs="Arial"/>
          <w:color w:val="auto"/>
          <w:lang w:val="en-US"/>
        </w:rPr>
        <w:t xml:space="preserve"> is available for 101 countries. For the other countries, ITU estimates the </w:t>
      </w:r>
      <w:r w:rsidRPr="0053757E">
        <w:rPr>
          <w:rFonts w:asciiTheme="minorHAnsi" w:eastAsiaTheme="minorEastAsia" w:hAnsiTheme="minorHAnsi" w:cs="Arial"/>
          <w:i/>
          <w:iCs/>
          <w:color w:val="auto"/>
          <w:lang w:val="en-US"/>
        </w:rPr>
        <w:t>proportion of households with Internet access</w:t>
      </w:r>
      <w:r w:rsidRPr="0053757E">
        <w:rPr>
          <w:rFonts w:asciiTheme="minorHAnsi" w:eastAsiaTheme="minorEastAsia" w:hAnsiTheme="minorHAnsi" w:cs="Arial"/>
          <w:color w:val="auto"/>
          <w:lang w:val="en-US"/>
        </w:rPr>
        <w:t xml:space="preserve"> based on other (mainly subscription) data.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4" w:name="_Toc419471241"/>
      <w:r w:rsidRPr="0053757E">
        <w:rPr>
          <w:rFonts w:asciiTheme="majorHAnsi" w:eastAsiaTheme="majorEastAsia" w:hAnsiTheme="majorHAnsi" w:cstheme="majorBidi"/>
          <w:b/>
          <w:bCs/>
          <w:color w:val="365F91" w:themeColor="accent1" w:themeShade="BF"/>
          <w:sz w:val="28"/>
          <w:szCs w:val="28"/>
          <w:lang w:eastAsia="ja-JP"/>
        </w:rPr>
        <w:t>Disaggregation</w:t>
      </w:r>
      <w:bookmarkEnd w:id="14"/>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MS Mincho" w:hAnsiTheme="minorHAnsi"/>
          <w:color w:val="auto"/>
        </w:rPr>
        <w:t xml:space="preserve">For countries that collect this indicator through an official survey, and if data </w:t>
      </w:r>
      <w:r w:rsidRPr="0053757E">
        <w:rPr>
          <w:rFonts w:asciiTheme="minorHAnsi" w:eastAsia="MS Mincho" w:hAnsiTheme="minorHAnsi"/>
          <w:color w:val="auto"/>
          <w:lang w:val="en-US"/>
        </w:rPr>
        <w:t>allow breakdown and disaggregation, the indicator can be broken down by</w:t>
      </w:r>
      <w:r w:rsidRPr="0053757E">
        <w:rPr>
          <w:rFonts w:asciiTheme="minorHAnsi" w:eastAsiaTheme="minorEastAsia" w:hAnsiTheme="minorHAnsi" w:cs="Arial"/>
          <w:color w:val="auto"/>
          <w:lang w:val="en-US"/>
        </w:rPr>
        <w:t xml:space="preserve"> the following household characteristics:</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Breakdown by region, such as geographical areas, urban/ rural.</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Breakdown by household characteristics, such as household composition and size, and whether the household has access to electricity.</w:t>
      </w:r>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 xml:space="preserve">Breakdown by characteristics of the head of the household/household reference person, such as sex, level of education, occupation or status in the </w:t>
      </w:r>
      <w:proofErr w:type="spellStart"/>
      <w:r w:rsidRPr="0053757E">
        <w:rPr>
          <w:rFonts w:asciiTheme="minorHAnsi" w:eastAsiaTheme="minorEastAsia" w:hAnsiTheme="minorHAnsi" w:cs="Arial"/>
          <w:color w:val="auto"/>
          <w:lang w:val="en-US"/>
        </w:rPr>
        <w:t>labour</w:t>
      </w:r>
      <w:proofErr w:type="spellEnd"/>
      <w:r w:rsidRPr="0053757E">
        <w:rPr>
          <w:rFonts w:asciiTheme="minorHAnsi" w:eastAsiaTheme="minorEastAsia" w:hAnsiTheme="minorHAnsi" w:cs="Arial"/>
          <w:color w:val="auto"/>
          <w:lang w:val="en-US"/>
        </w:rPr>
        <w:t xml:space="preserve"> force.</w:t>
      </w:r>
    </w:p>
    <w:p w:rsidR="0053757E" w:rsidRPr="0053757E" w:rsidRDefault="0053757E" w:rsidP="0053757E">
      <w:pPr>
        <w:autoSpaceDE w:val="0"/>
        <w:autoSpaceDN w:val="0"/>
        <w:adjustRightInd w:val="0"/>
        <w:rPr>
          <w:rFonts w:asciiTheme="minorHAnsi" w:eastAsia="MS Mincho" w:hAnsiTheme="minorHAnsi"/>
          <w:color w:val="auto"/>
          <w:lang w:val="en-US"/>
        </w:rPr>
      </w:pPr>
      <w:r w:rsidRPr="0053757E">
        <w:rPr>
          <w:rFonts w:asciiTheme="minorHAnsi" w:eastAsiaTheme="minorEastAsia" w:hAnsiTheme="minorHAnsi" w:cs="SymbolMT"/>
          <w:color w:val="auto"/>
          <w:lang w:val="en-US"/>
        </w:rPr>
        <w:t xml:space="preserve">• </w:t>
      </w:r>
      <w:r w:rsidRPr="0053757E">
        <w:rPr>
          <w:rFonts w:asciiTheme="minorHAnsi" w:eastAsiaTheme="minorEastAsia" w:hAnsiTheme="minorHAnsi" w:cs="Arial"/>
          <w:color w:val="auto"/>
          <w:lang w:val="en-US"/>
        </w:rPr>
        <w:t>Other breakdowns or classifications, where relevant variables or questions are used in the questionnaire, such as household income.</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5" w:name="_Toc419471242"/>
      <w:r w:rsidRPr="0053757E">
        <w:rPr>
          <w:rFonts w:asciiTheme="majorHAnsi" w:eastAsiaTheme="majorEastAsia" w:hAnsiTheme="majorHAnsi" w:cstheme="majorBidi"/>
          <w:b/>
          <w:bCs/>
          <w:color w:val="365F91" w:themeColor="accent1" w:themeShade="BF"/>
          <w:sz w:val="28"/>
          <w:szCs w:val="28"/>
          <w:lang w:eastAsia="ja-JP"/>
        </w:rPr>
        <w:t>Comments and limitations</w:t>
      </w:r>
      <w:bookmarkEnd w:id="15"/>
    </w:p>
    <w:p w:rsidR="0053757E" w:rsidRPr="0053757E" w:rsidRDefault="0053757E" w:rsidP="0053757E">
      <w:pPr>
        <w:rPr>
          <w:rFonts w:asciiTheme="minorHAnsi" w:eastAsiaTheme="minorEastAsia" w:hAnsiTheme="minorHAnsi" w:cs="Arial"/>
          <w:color w:val="auto"/>
        </w:rPr>
      </w:pPr>
      <w:r w:rsidRPr="0053757E">
        <w:rPr>
          <w:rFonts w:asciiTheme="minorHAnsi" w:eastAsiaTheme="minorEastAsia" w:hAnsiTheme="minorHAnsi" w:cs="Arial"/>
          <w:color w:val="auto"/>
          <w:lang w:val="en-US"/>
        </w:rPr>
        <w:t xml:space="preserve">Proposed categories of broadband and technical terms will probably vary between countries and therefore questions included in national household surveys/questionnaires must be adapted to the local context. For further information, see the </w:t>
      </w:r>
      <w:hyperlink r:id="rId6" w:history="1">
        <w:r w:rsidRPr="0053757E">
          <w:rPr>
            <w:rFonts w:asciiTheme="minorHAnsi" w:eastAsia="MS Mincho" w:hAnsiTheme="minorHAnsi" w:cs="Segoe UI"/>
            <w:color w:val="0000FF"/>
            <w:u w:val="single"/>
            <w:lang w:val="en-US" w:eastAsia="ja-JP"/>
          </w:rPr>
          <w:t>ITU Manual for Measuring ICT Access and Use by Households and Individuals 2014</w:t>
        </w:r>
      </w:hyperlink>
      <w:r w:rsidRPr="0053757E">
        <w:rPr>
          <w:rFonts w:asciiTheme="minorHAnsi" w:eastAsia="MS Mincho" w:hAnsiTheme="minorHAnsi" w:cs="Segoe UI"/>
          <w:color w:val="0000FF"/>
          <w:u w:val="single"/>
          <w:lang w:val="en-US" w:eastAsia="ja-JP"/>
        </w:rPr>
        <w:t xml:space="preserv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6" w:name="_Toc419471243"/>
      <w:r w:rsidRPr="0053757E">
        <w:rPr>
          <w:rFonts w:asciiTheme="majorHAnsi" w:eastAsiaTheme="majorEastAsia" w:hAnsiTheme="majorHAnsi" w:cstheme="majorBidi"/>
          <w:b/>
          <w:bCs/>
          <w:color w:val="365F91" w:themeColor="accent1" w:themeShade="BF"/>
          <w:sz w:val="28"/>
          <w:szCs w:val="28"/>
          <w:lang w:eastAsia="ja-JP"/>
        </w:rPr>
        <w:t>Gender equality issues</w:t>
      </w:r>
      <w:bookmarkEnd w:id="16"/>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Theme="minorEastAsia" w:hAnsiTheme="minorHAnsi" w:cs="Arial"/>
          <w:color w:val="auto"/>
        </w:rPr>
        <w:t xml:space="preserve">Information can be produced on the </w:t>
      </w:r>
      <w:r w:rsidRPr="0053757E">
        <w:rPr>
          <w:rFonts w:asciiTheme="minorHAnsi" w:eastAsiaTheme="minorEastAsia" w:hAnsiTheme="minorHAnsi" w:cs="Arial"/>
          <w:color w:val="auto"/>
          <w:lang w:val="en-US"/>
        </w:rPr>
        <w:t>breakdown by characteristics of the head of the household/household reference person, including sex, but ITU does not collect this information at the international level.</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7" w:name="_Toc419471244"/>
      <w:r w:rsidRPr="0053757E">
        <w:rPr>
          <w:rFonts w:asciiTheme="majorHAnsi" w:eastAsiaTheme="majorEastAsia" w:hAnsiTheme="majorHAnsi" w:cstheme="majorBidi"/>
          <w:b/>
          <w:bCs/>
          <w:color w:val="365F91" w:themeColor="accent1" w:themeShade="BF"/>
          <w:sz w:val="28"/>
          <w:szCs w:val="28"/>
          <w:lang w:eastAsia="ja-JP"/>
        </w:rPr>
        <w:t>Data for global and regional monitoring</w:t>
      </w:r>
      <w:bookmarkEnd w:id="17"/>
    </w:p>
    <w:p w:rsidR="0053757E" w:rsidRPr="0053757E" w:rsidRDefault="0053757E" w:rsidP="0053757E">
      <w:pPr>
        <w:autoSpaceDE w:val="0"/>
        <w:autoSpaceDN w:val="0"/>
        <w:adjustRightInd w:val="0"/>
        <w:rPr>
          <w:rFonts w:asciiTheme="minorHAnsi" w:eastAsiaTheme="minorEastAsia" w:hAnsiTheme="minorHAnsi" w:cs="Arial"/>
          <w:color w:val="auto"/>
          <w:lang w:val="en-US"/>
        </w:rPr>
      </w:pPr>
      <w:r w:rsidRPr="0053757E">
        <w:rPr>
          <w:rFonts w:asciiTheme="minorHAnsi" w:eastAsia="MS Mincho" w:hAnsiTheme="minorHAnsi"/>
          <w:color w:val="auto"/>
          <w:lang w:eastAsia="ja-JP"/>
        </w:rPr>
        <w:t xml:space="preserve">Regional and global aggregates can be produced for the </w:t>
      </w:r>
      <w:r w:rsidRPr="0053757E">
        <w:rPr>
          <w:rFonts w:asciiTheme="minorHAnsi" w:eastAsiaTheme="minorEastAsia" w:hAnsiTheme="minorHAnsi" w:cs="Arial"/>
          <w:i/>
          <w:iCs/>
          <w:color w:val="auto"/>
          <w:lang w:val="en-US"/>
        </w:rPr>
        <w:t>proportion of households with Internet access</w:t>
      </w:r>
      <w:r w:rsidRPr="0053757E">
        <w:rPr>
          <w:rFonts w:asciiTheme="minorHAnsi" w:eastAsiaTheme="minorEastAsia" w:hAnsiTheme="minorHAnsi" w:cs="Arial"/>
          <w:color w:val="auto"/>
          <w:lang w:val="en-US"/>
        </w:rPr>
        <w:t xml:space="preserve"> since ITU produces data for this indicator for almost 200 economies. In cases where these data are not produced through official household surveys, ITU estimates the </w:t>
      </w:r>
      <w:r w:rsidRPr="0053757E">
        <w:rPr>
          <w:rFonts w:asciiTheme="minorHAnsi" w:eastAsiaTheme="minorEastAsia" w:hAnsiTheme="minorHAnsi" w:cs="Arial"/>
          <w:i/>
          <w:iCs/>
          <w:color w:val="auto"/>
          <w:lang w:val="en-US"/>
        </w:rPr>
        <w:t xml:space="preserve">proportion of households with Internet access </w:t>
      </w:r>
      <w:r w:rsidRPr="0053757E">
        <w:rPr>
          <w:rFonts w:asciiTheme="minorHAnsi" w:eastAsiaTheme="minorEastAsia" w:hAnsiTheme="minorHAnsi" w:cs="Arial"/>
          <w:color w:val="auto"/>
          <w:lang w:val="en-US"/>
        </w:rPr>
        <w:t xml:space="preserve">based on subscription data. Recent data for the </w:t>
      </w:r>
      <w:r w:rsidRPr="0053757E">
        <w:rPr>
          <w:rFonts w:asciiTheme="minorHAnsi" w:eastAsiaTheme="minorEastAsia" w:hAnsiTheme="minorHAnsi" w:cs="Arial"/>
          <w:i/>
          <w:iCs/>
          <w:color w:val="auto"/>
          <w:lang w:val="en-US"/>
        </w:rPr>
        <w:t>proportion of households with broadband Internet access</w:t>
      </w:r>
      <w:r w:rsidRPr="0053757E">
        <w:rPr>
          <w:rFonts w:asciiTheme="minorHAnsi" w:eastAsiaTheme="minorEastAsia" w:hAnsiTheme="minorHAnsi" w:cs="Arial"/>
          <w:color w:val="auto"/>
          <w:lang w:val="en-US"/>
        </w:rPr>
        <w:t xml:space="preserve"> is available for 53 countries and regional and global estimates cannot be produced, although more countries are expected to collect data for this indicator in the future.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8" w:name="_Toc419471245"/>
      <w:r w:rsidRPr="0053757E">
        <w:rPr>
          <w:rFonts w:asciiTheme="majorHAnsi" w:eastAsiaTheme="majorEastAsia" w:hAnsiTheme="majorHAnsi" w:cstheme="majorBidi"/>
          <w:b/>
          <w:bCs/>
          <w:color w:val="365F91" w:themeColor="accent1" w:themeShade="BF"/>
          <w:sz w:val="28"/>
          <w:szCs w:val="28"/>
          <w:lang w:eastAsia="ja-JP"/>
        </w:rPr>
        <w:lastRenderedPageBreak/>
        <w:t>Supplementary information</w:t>
      </w:r>
      <w:bookmarkEnd w:id="18"/>
    </w:p>
    <w:p w:rsidR="0053757E" w:rsidRPr="0053757E" w:rsidRDefault="0053757E" w:rsidP="0053757E">
      <w:pPr>
        <w:autoSpaceDE w:val="0"/>
        <w:autoSpaceDN w:val="0"/>
        <w:adjustRightInd w:val="0"/>
        <w:rPr>
          <w:rFonts w:asciiTheme="minorHAnsi" w:eastAsia="MS Mincho" w:hAnsiTheme="minorHAnsi"/>
          <w:color w:val="auto"/>
          <w:lang w:eastAsia="ja-JP"/>
        </w:rPr>
      </w:pPr>
      <w:r w:rsidRPr="0053757E">
        <w:rPr>
          <w:rFonts w:asciiTheme="minorHAnsi" w:eastAsia="MS Mincho" w:hAnsiTheme="minorHAnsi"/>
          <w:color w:val="auto"/>
          <w:lang w:eastAsia="ja-JP"/>
        </w:rPr>
        <w:t xml:space="preserve">Year-end data on the </w:t>
      </w:r>
      <w:r w:rsidRPr="0053757E">
        <w:rPr>
          <w:rFonts w:asciiTheme="minorHAnsi" w:eastAsia="MS Mincho" w:hAnsiTheme="minorHAnsi"/>
          <w:i/>
          <w:iCs/>
          <w:color w:val="auto"/>
          <w:lang w:eastAsia="ja-JP"/>
        </w:rPr>
        <w:t>proportion of households with Internet access</w:t>
      </w:r>
      <w:r w:rsidRPr="0053757E">
        <w:rPr>
          <w:rFonts w:asciiTheme="minorHAnsi" w:eastAsia="MS Mincho" w:hAnsiTheme="minorHAnsi"/>
          <w:color w:val="auto"/>
          <w:lang w:eastAsia="ja-JP"/>
        </w:rPr>
        <w:t xml:space="preserve"> are usually released in June of the following year through the ITU World Telecommunication/ICT Indicators Database. Data are also available at no cost through the ITU ICT Eye, see: </w:t>
      </w:r>
      <w:hyperlink r:id="rId7" w:history="1">
        <w:r w:rsidRPr="0053757E">
          <w:rPr>
            <w:rFonts w:asciiTheme="minorHAnsi" w:eastAsia="MS Mincho" w:hAnsiTheme="minorHAnsi"/>
            <w:color w:val="0000FF"/>
            <w:u w:val="single"/>
            <w:lang w:eastAsia="ja-JP"/>
          </w:rPr>
          <w:t>http://www.itu.int/ITU-D/ict/</w:t>
        </w:r>
      </w:hyperlink>
      <w:r w:rsidRPr="0053757E">
        <w:rPr>
          <w:rFonts w:asciiTheme="minorHAnsi" w:eastAsia="MS Mincho" w:hAnsiTheme="minorHAnsi"/>
          <w:color w:val="auto"/>
          <w:lang w:eastAsia="ja-JP"/>
        </w:rPr>
        <w:t xml:space="preserv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9" w:name="_Toc419471246"/>
      <w:r w:rsidRPr="0053757E">
        <w:rPr>
          <w:rFonts w:asciiTheme="majorHAnsi" w:eastAsiaTheme="majorEastAsia" w:hAnsiTheme="majorHAnsi" w:cstheme="majorBidi"/>
          <w:b/>
          <w:bCs/>
          <w:color w:val="365F91" w:themeColor="accent1" w:themeShade="BF"/>
          <w:sz w:val="28"/>
          <w:szCs w:val="28"/>
          <w:lang w:eastAsia="ja-JP"/>
        </w:rPr>
        <w:t>References:</w:t>
      </w:r>
      <w:bookmarkEnd w:id="19"/>
    </w:p>
    <w:p w:rsidR="0053757E" w:rsidRPr="0053757E" w:rsidRDefault="0053757E" w:rsidP="0053757E">
      <w:pPr>
        <w:numPr>
          <w:ilvl w:val="0"/>
          <w:numId w:val="1"/>
        </w:numPr>
        <w:contextualSpacing/>
        <w:rPr>
          <w:rFonts w:asciiTheme="minorHAnsi" w:eastAsia="MS Mincho" w:hAnsiTheme="minorHAnsi"/>
          <w:color w:val="auto"/>
          <w:lang w:eastAsia="ja-JP"/>
        </w:rPr>
      </w:pPr>
      <w:hyperlink r:id="rId8" w:history="1">
        <w:r w:rsidRPr="0053757E">
          <w:rPr>
            <w:rFonts w:asciiTheme="minorHAnsi" w:eastAsia="MS Mincho" w:hAnsiTheme="minorHAnsi" w:cs="Segoe UI"/>
            <w:color w:val="0000FF"/>
            <w:sz w:val="22"/>
            <w:szCs w:val="22"/>
            <w:u w:val="single"/>
            <w:lang w:val="en-US" w:eastAsia="ja-JP"/>
          </w:rPr>
          <w:t>ITU Manual for Measuring ICT Access and Use by Households and Individuals 2014</w:t>
        </w:r>
      </w:hyperlink>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20" w:name="_Toc419471247"/>
      <w:proofErr w:type="gramStart"/>
      <w:r w:rsidRPr="0053757E">
        <w:rPr>
          <w:rFonts w:asciiTheme="majorHAnsi" w:eastAsiaTheme="majorEastAsia" w:hAnsiTheme="majorHAnsi" w:cstheme="majorBidi"/>
          <w:b/>
          <w:bCs/>
          <w:color w:val="365F91" w:themeColor="accent1" w:themeShade="BF"/>
          <w:sz w:val="28"/>
          <w:szCs w:val="28"/>
          <w:lang w:eastAsia="ja-JP"/>
        </w:rPr>
        <w:t>Targets for which indicator is</w:t>
      </w:r>
      <w:proofErr w:type="gramEnd"/>
      <w:r w:rsidRPr="0053757E">
        <w:rPr>
          <w:rFonts w:asciiTheme="majorHAnsi" w:eastAsiaTheme="majorEastAsia" w:hAnsiTheme="majorHAnsi" w:cstheme="majorBidi"/>
          <w:b/>
          <w:bCs/>
          <w:color w:val="365F91" w:themeColor="accent1" w:themeShade="BF"/>
          <w:sz w:val="28"/>
          <w:szCs w:val="28"/>
          <w:lang w:eastAsia="ja-JP"/>
        </w:rPr>
        <w:t xml:space="preserve"> relevant:</w:t>
      </w:r>
      <w:bookmarkEnd w:id="20"/>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1.4, 9.c, 11.1,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sectPr w:rsidR="0053757E" w:rsidRPr="0053757E">
          <w:pgSz w:w="12240" w:h="15840"/>
          <w:pgMar w:top="1440" w:right="1440" w:bottom="1440" w:left="1440" w:header="708" w:footer="708" w:gutter="0"/>
          <w:cols w:space="708"/>
          <w:docGrid w:linePitch="360"/>
        </w:sectPr>
      </w:pPr>
    </w:p>
    <w:p w:rsidR="0053757E" w:rsidRPr="0053757E" w:rsidRDefault="0053757E" w:rsidP="0053757E">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53757E" w:rsidRPr="0053757E" w:rsidRDefault="0053757E" w:rsidP="0053757E">
      <w:pPr>
        <w:autoSpaceDE w:val="0"/>
        <w:autoSpaceDN w:val="0"/>
        <w:adjustRightInd w:val="0"/>
        <w:jc w:val="center"/>
        <w:outlineLvl w:val="1"/>
        <w:rPr>
          <w:rFonts w:asciiTheme="majorHAnsi" w:eastAsiaTheme="majorEastAsia" w:hAnsiTheme="majorHAnsi" w:cstheme="majorBidi"/>
          <w:b/>
          <w:bCs/>
          <w:color w:val="365F91" w:themeColor="accent1" w:themeShade="BF"/>
          <w:sz w:val="32"/>
          <w:szCs w:val="32"/>
          <w:lang w:eastAsia="ja-JP"/>
        </w:rPr>
      </w:pPr>
      <w:bookmarkStart w:id="21" w:name="_Toc419471248"/>
      <w:bookmarkStart w:id="22" w:name="_Toc419471512"/>
      <w:bookmarkStart w:id="23" w:name="_Toc419471759"/>
      <w:bookmarkStart w:id="24" w:name="_Toc419472836"/>
      <w:r w:rsidRPr="0053757E">
        <w:rPr>
          <w:rFonts w:asciiTheme="majorHAnsi" w:eastAsiaTheme="majorEastAsia" w:hAnsiTheme="majorHAnsi" w:cstheme="majorBidi"/>
          <w:b/>
          <w:bCs/>
          <w:color w:val="365F91" w:themeColor="accent1" w:themeShade="BF"/>
          <w:sz w:val="32"/>
          <w:szCs w:val="32"/>
          <w:lang w:eastAsia="ja-JP"/>
        </w:rPr>
        <w:t xml:space="preserve">Technical </w:t>
      </w:r>
      <w:r w:rsidRPr="0053757E">
        <w:rPr>
          <w:rFonts w:asciiTheme="majorHAnsi" w:eastAsia="SimSun" w:hAnsiTheme="majorHAnsi"/>
          <w:b/>
          <w:bCs/>
          <w:color w:val="365F91" w:themeColor="accent1" w:themeShade="BF"/>
          <w:sz w:val="32"/>
          <w:szCs w:val="32"/>
          <w:lang w:eastAsia="zh-CN"/>
        </w:rPr>
        <w:t>information</w:t>
      </w:r>
      <w:r w:rsidRPr="0053757E">
        <w:rPr>
          <w:rFonts w:asciiTheme="majorHAnsi" w:eastAsiaTheme="majorEastAsia" w:hAnsiTheme="majorHAnsi" w:cstheme="majorBidi"/>
          <w:b/>
          <w:bCs/>
          <w:color w:val="365F91" w:themeColor="accent1" w:themeShade="BF"/>
          <w:sz w:val="32"/>
          <w:szCs w:val="32"/>
          <w:lang w:eastAsia="ja-JP"/>
        </w:rPr>
        <w:t xml:space="preserve"> sheet for the proposed SDG indicator “Broadband Internet prices”</w:t>
      </w:r>
      <w:bookmarkEnd w:id="21"/>
      <w:bookmarkEnd w:id="22"/>
      <w:bookmarkEnd w:id="23"/>
      <w:bookmarkEnd w:id="24"/>
    </w:p>
    <w:p w:rsidR="0053757E" w:rsidRPr="0053757E" w:rsidRDefault="0053757E" w:rsidP="0053757E">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53757E" w:rsidRPr="0053757E" w:rsidRDefault="0053757E" w:rsidP="0053757E">
      <w:pPr>
        <w:autoSpaceDE w:val="0"/>
        <w:autoSpaceDN w:val="0"/>
        <w:adjustRightInd w:val="0"/>
        <w:outlineLvl w:val="1"/>
        <w:rPr>
          <w:rFonts w:asciiTheme="minorHAnsi" w:eastAsia="SimSun" w:hAnsiTheme="minorHAnsi"/>
          <w:b/>
          <w:bCs/>
          <w:color w:val="auto"/>
          <w:sz w:val="32"/>
          <w:szCs w:val="32"/>
          <w:lang w:eastAsia="zh-CN"/>
        </w:rPr>
      </w:pPr>
      <w:bookmarkStart w:id="25" w:name="_Toc419471249"/>
      <w:r w:rsidRPr="0053757E">
        <w:rPr>
          <w:rFonts w:asciiTheme="majorHAnsi" w:eastAsiaTheme="majorEastAsia" w:hAnsiTheme="majorHAnsi" w:cstheme="majorBidi"/>
          <w:b/>
          <w:bCs/>
          <w:color w:val="365F91" w:themeColor="accent1" w:themeShade="BF"/>
          <w:sz w:val="28"/>
          <w:szCs w:val="28"/>
          <w:lang w:eastAsia="ja-JP"/>
        </w:rPr>
        <w:t>Goal and target addressed:</w:t>
      </w:r>
      <w:bookmarkEnd w:id="25"/>
      <w:r w:rsidRPr="0053757E">
        <w:rPr>
          <w:rFonts w:asciiTheme="minorHAnsi" w:eastAsia="SimSun" w:hAnsiTheme="minorHAnsi"/>
          <w:b/>
          <w:bCs/>
          <w:color w:val="auto"/>
          <w:sz w:val="32"/>
          <w:szCs w:val="32"/>
          <w:lang w:eastAsia="zh-CN"/>
        </w:rPr>
        <w:t xml:space="preserve"> </w:t>
      </w:r>
    </w:p>
    <w:p w:rsidR="0053757E" w:rsidRPr="0053757E" w:rsidRDefault="0053757E" w:rsidP="0053757E">
      <w:pPr>
        <w:rPr>
          <w:rFonts w:asciiTheme="minorHAnsi" w:eastAsia="MS Mincho" w:hAnsiTheme="minorHAnsi"/>
          <w:color w:val="auto"/>
          <w:lang w:eastAsia="ja-JP"/>
        </w:rPr>
      </w:pPr>
      <w:bookmarkStart w:id="26" w:name="_Toc419471250"/>
      <w:bookmarkStart w:id="27" w:name="_Toc419471760"/>
      <w:bookmarkStart w:id="28" w:name="_Toc419472837"/>
      <w:r w:rsidRPr="0053757E">
        <w:rPr>
          <w:rFonts w:asciiTheme="minorHAnsi" w:eastAsia="MS Mincho" w:hAnsiTheme="minorHAnsi"/>
          <w:color w:val="auto"/>
          <w:lang w:eastAsia="ja-JP"/>
        </w:rPr>
        <w:t>Goal 9: Build resilient infrastructure, promote inclusive and sustainable industrialization and foster innovation</w:t>
      </w:r>
      <w:bookmarkEnd w:id="26"/>
      <w:bookmarkEnd w:id="27"/>
      <w:bookmarkEnd w:id="28"/>
    </w:p>
    <w:p w:rsidR="0053757E" w:rsidRPr="0053757E" w:rsidRDefault="0053757E" w:rsidP="0053757E">
      <w:pPr>
        <w:rPr>
          <w:rFonts w:asciiTheme="minorHAnsi" w:eastAsia="MS Mincho" w:hAnsiTheme="minorHAnsi"/>
          <w:color w:val="auto"/>
          <w:lang w:eastAsia="zh-CN"/>
        </w:rPr>
      </w:pPr>
      <w:bookmarkStart w:id="29" w:name="_Toc419471251"/>
      <w:bookmarkStart w:id="30" w:name="_Toc419471761"/>
      <w:bookmarkStart w:id="31" w:name="_Toc419472838"/>
      <w:r w:rsidRPr="0053757E">
        <w:rPr>
          <w:rFonts w:asciiTheme="minorHAnsi" w:eastAsia="MS Mincho" w:hAnsiTheme="minorHAnsi"/>
          <w:color w:val="auto"/>
          <w:lang w:eastAsia="ja-JP"/>
        </w:rPr>
        <w:t>Target 9.c: significantly increase access to ICT and strive to provide universal and affordable access to internet in LDCs, by 2020</w:t>
      </w:r>
      <w:bookmarkEnd w:id="29"/>
      <w:bookmarkEnd w:id="30"/>
      <w:bookmarkEnd w:id="31"/>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32" w:name="_Toc419471252"/>
      <w:r w:rsidRPr="0053757E">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32"/>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eastAsia="zh-CN"/>
        </w:rPr>
        <w:t xml:space="preserve">The indicator </w:t>
      </w:r>
      <w:r w:rsidRPr="0053757E">
        <w:rPr>
          <w:rFonts w:asciiTheme="minorHAnsi" w:eastAsia="MS Mincho" w:hAnsiTheme="minorHAnsi" w:cs="Calibri,Italic"/>
          <w:i/>
          <w:iCs/>
          <w:color w:val="auto"/>
          <w:lang w:val="en-US"/>
        </w:rPr>
        <w:t xml:space="preserve">broadband Internet </w:t>
      </w:r>
      <w:proofErr w:type="gramStart"/>
      <w:r w:rsidRPr="0053757E">
        <w:rPr>
          <w:rFonts w:asciiTheme="minorHAnsi" w:eastAsia="MS Mincho" w:hAnsiTheme="minorHAnsi" w:cs="Calibri,Italic"/>
          <w:i/>
          <w:iCs/>
          <w:color w:val="auto"/>
          <w:lang w:val="en-US"/>
        </w:rPr>
        <w:t>prices</w:t>
      </w:r>
      <w:r w:rsidRPr="0053757E">
        <w:rPr>
          <w:rFonts w:asciiTheme="minorHAnsi" w:eastAsia="MS Mincho" w:hAnsiTheme="minorHAnsi" w:cs="Calibri,Italic"/>
          <w:color w:val="auto"/>
          <w:lang w:val="en-US"/>
        </w:rPr>
        <w:t xml:space="preserve"> </w:t>
      </w:r>
      <w:r w:rsidRPr="0053757E">
        <w:rPr>
          <w:rFonts w:asciiTheme="minorHAnsi" w:eastAsia="MS Mincho" w:hAnsiTheme="minorHAnsi"/>
          <w:color w:val="auto"/>
          <w:lang w:val="en-US"/>
        </w:rPr>
        <w:t>refers</w:t>
      </w:r>
      <w:proofErr w:type="gramEnd"/>
      <w:r w:rsidRPr="0053757E">
        <w:rPr>
          <w:rFonts w:asciiTheme="minorHAnsi" w:eastAsia="MS Mincho" w:hAnsiTheme="minorHAnsi"/>
          <w:color w:val="auto"/>
          <w:lang w:val="en-US"/>
        </w:rPr>
        <w:t xml:space="preserve"> to the price of a monthly subscription to an entry-level (fixed or mobile) broadband plan, based on the offer by the operator with the largest market share in the country. The price is based on a monthly data usage of (a minimum of) 1 </w:t>
      </w:r>
      <w:proofErr w:type="spellStart"/>
      <w:r w:rsidRPr="0053757E">
        <w:rPr>
          <w:rFonts w:asciiTheme="minorHAnsi" w:eastAsia="MS Mincho" w:hAnsiTheme="minorHAnsi"/>
          <w:color w:val="auto"/>
          <w:lang w:val="en-US"/>
        </w:rPr>
        <w:t>Gigayte</w:t>
      </w:r>
      <w:proofErr w:type="spellEnd"/>
      <w:r w:rsidRPr="0053757E">
        <w:rPr>
          <w:rFonts w:asciiTheme="minorHAnsi" w:eastAsia="MS Mincho" w:hAnsiTheme="minorHAnsi"/>
          <w:color w:val="auto"/>
          <w:lang w:val="en-US"/>
        </w:rPr>
        <w:t xml:space="preserve"> (GB). The minimum speed of a broadband connection is 256kbit/s. </w:t>
      </w:r>
    </w:p>
    <w:p w:rsidR="0053757E" w:rsidRPr="0053757E" w:rsidRDefault="0053757E" w:rsidP="0053757E">
      <w:pPr>
        <w:rPr>
          <w:rFonts w:asciiTheme="minorHAnsi" w:eastAsia="MS Mincho" w:hAnsiTheme="minorHAnsi"/>
          <w:color w:val="auto"/>
          <w:lang w:val="en-US"/>
        </w:rPr>
      </w:pPr>
    </w:p>
    <w:p w:rsidR="0053757E" w:rsidRPr="0053757E" w:rsidRDefault="0053757E" w:rsidP="0053757E">
      <w:pPr>
        <w:rPr>
          <w:rFonts w:ascii="Calibri" w:eastAsiaTheme="minorEastAsia" w:hAnsi="Calibri" w:cs="Calibri"/>
          <w:color w:val="auto"/>
          <w:lang w:val="en-US"/>
        </w:rPr>
      </w:pPr>
      <w:r w:rsidRPr="0053757E">
        <w:rPr>
          <w:rFonts w:asciiTheme="minorHAnsi" w:eastAsia="MS Mincho" w:hAnsiTheme="minorHAnsi"/>
          <w:color w:val="auto"/>
          <w:lang w:eastAsia="ja-JP"/>
        </w:rPr>
        <w:t xml:space="preserve">ITU collects data for this indicator (in the currency in which prices are advertised) through an annual questionnaire from national regulatory authorities or Information and Communication Technology (ICT) Ministries, who collect the data from national operators/Internet service providers. </w:t>
      </w:r>
      <w:r w:rsidRPr="0053757E">
        <w:rPr>
          <w:rFonts w:ascii="Calibri" w:eastAsiaTheme="minorEastAsia" w:hAnsi="Calibri" w:cs="Calibri"/>
          <w:color w:val="auto"/>
          <w:lang w:val="en-US"/>
        </w:rPr>
        <w:t xml:space="preserve">Prices are collected based on a set of clear rules to ensure the comparability between countries. For countries that do not respond to the questionnaire, ITU collects data on the broadband Internet prices directly from operators/Internet service providers’ websites. </w:t>
      </w:r>
    </w:p>
    <w:p w:rsidR="0053757E" w:rsidRPr="0053757E" w:rsidRDefault="0053757E" w:rsidP="0053757E">
      <w:pPr>
        <w:rPr>
          <w:rFonts w:ascii="Calibri" w:eastAsiaTheme="minorEastAsia" w:hAnsi="Calibri" w:cs="Calibri"/>
          <w:color w:val="auto"/>
          <w:lang w:val="en-US"/>
        </w:rPr>
      </w:pPr>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To compare prices across countries, fixed- and mobile-broadband plans should be collected and compared, separately. In addition to the local currency, the price of a monthly subscription will be shown as follows:</w:t>
      </w:r>
    </w:p>
    <w:p w:rsidR="0053757E" w:rsidRPr="0053757E" w:rsidRDefault="0053757E" w:rsidP="0053757E">
      <w:pPr>
        <w:rPr>
          <w:rFonts w:asciiTheme="minorHAnsi" w:eastAsia="MS Mincho" w:hAnsiTheme="minorHAnsi"/>
          <w:color w:val="auto"/>
          <w:lang w:val="en-US"/>
        </w:rPr>
      </w:pPr>
    </w:p>
    <w:p w:rsidR="0053757E" w:rsidRPr="0053757E" w:rsidRDefault="0053757E" w:rsidP="0053757E">
      <w:pPr>
        <w:numPr>
          <w:ilvl w:val="0"/>
          <w:numId w:val="2"/>
        </w:numPr>
        <w:contextualSpacing/>
        <w:rPr>
          <w:rFonts w:asciiTheme="minorHAnsi" w:eastAsia="MS Mincho" w:hAnsiTheme="minorHAnsi"/>
          <w:color w:val="auto"/>
          <w:lang w:val="en-US"/>
        </w:rPr>
      </w:pPr>
      <w:r w:rsidRPr="0053757E">
        <w:rPr>
          <w:rFonts w:asciiTheme="minorHAnsi" w:eastAsia="MS Mincho" w:hAnsiTheme="minorHAnsi"/>
          <w:color w:val="auto"/>
          <w:lang w:val="en-US"/>
        </w:rPr>
        <w:t>In USD, converted (from local currency), using the IMF’s average annual rate of exchange</w:t>
      </w:r>
    </w:p>
    <w:p w:rsidR="0053757E" w:rsidRPr="0053757E" w:rsidRDefault="0053757E" w:rsidP="0053757E">
      <w:pPr>
        <w:numPr>
          <w:ilvl w:val="0"/>
          <w:numId w:val="2"/>
        </w:numPr>
        <w:contextualSpacing/>
        <w:rPr>
          <w:rFonts w:asciiTheme="minorHAnsi" w:eastAsia="MS Mincho" w:hAnsiTheme="minorHAnsi"/>
          <w:color w:val="auto"/>
          <w:lang w:val="en-US"/>
        </w:rPr>
      </w:pPr>
      <w:r w:rsidRPr="0053757E">
        <w:rPr>
          <w:rFonts w:asciiTheme="minorHAnsi" w:eastAsia="MS Mincho" w:hAnsiTheme="minorHAnsi"/>
          <w:color w:val="auto"/>
          <w:lang w:val="en-US"/>
        </w:rPr>
        <w:t>In PPP$ using the World Bank’s conversion factors</w:t>
      </w:r>
    </w:p>
    <w:p w:rsidR="0053757E" w:rsidRPr="0053757E" w:rsidRDefault="0053757E" w:rsidP="0053757E">
      <w:pPr>
        <w:numPr>
          <w:ilvl w:val="0"/>
          <w:numId w:val="2"/>
        </w:numPr>
        <w:contextualSpacing/>
        <w:rPr>
          <w:rFonts w:asciiTheme="minorHAnsi" w:eastAsiaTheme="minorEastAsia" w:hAnsiTheme="minorHAnsi" w:cs="Calibri"/>
          <w:color w:val="auto"/>
          <w:lang w:val="en-US"/>
        </w:rPr>
      </w:pPr>
      <w:r w:rsidRPr="0053757E">
        <w:rPr>
          <w:rFonts w:asciiTheme="minorHAnsi" w:eastAsia="MS Mincho" w:hAnsiTheme="minorHAnsi"/>
          <w:color w:val="auto"/>
          <w:lang w:val="en-US"/>
        </w:rPr>
        <w:t>As a percentage of Gross National Income per capita (GNI p.c.), using GNI p.c. values from the World Bank (Atlas Method)</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3" w:name="_Toc419471253"/>
      <w:r w:rsidRPr="0053757E">
        <w:rPr>
          <w:rFonts w:asciiTheme="majorHAnsi" w:eastAsiaTheme="majorEastAsia" w:hAnsiTheme="majorHAnsi" w:cstheme="majorBidi"/>
          <w:b/>
          <w:bCs/>
          <w:color w:val="365F91" w:themeColor="accent1" w:themeShade="BF"/>
          <w:sz w:val="28"/>
          <w:szCs w:val="28"/>
          <w:lang w:eastAsia="ja-JP"/>
        </w:rPr>
        <w:t>Rationale and interpretation:</w:t>
      </w:r>
      <w:bookmarkEnd w:id="33"/>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Target 9.c recognizes that the price, and affordability, of ICT services remains a determining factor for ICT uptake, particularly in the world Least Developed Countries. There is ample evidence that the relatively high price of ICT services remains a major barrier to ICT usage. Policy makers in most countries regulate wholesale prices, and retail prices are regulated in some countries. In addition, countries, as well as international and regional organizations, are monitoring the price of ICT services. To increase the level of broadband uptake and allow more people to benefit from the information society, the Broadband Commission for Digital </w:t>
      </w:r>
      <w:r w:rsidRPr="0053757E">
        <w:rPr>
          <w:rFonts w:asciiTheme="minorHAnsi" w:eastAsia="MS Mincho" w:hAnsiTheme="minorHAnsi"/>
          <w:color w:val="auto"/>
          <w:lang w:eastAsia="ja-JP"/>
        </w:rPr>
        <w:lastRenderedPageBreak/>
        <w:t xml:space="preserve">Development has highlighted the importance of making broadband more affordable and set a clear target to bring down prices.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Broadband Internet prices remain particularly high and unaffordable in the large majority of LDCs and policies must be geared towards bringing down prices if more people are to join the information society.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4" w:name="_Toc419471254"/>
      <w:r w:rsidRPr="0053757E">
        <w:rPr>
          <w:rFonts w:asciiTheme="majorHAnsi" w:eastAsiaTheme="majorEastAsia" w:hAnsiTheme="majorHAnsi" w:cstheme="majorBidi"/>
          <w:b/>
          <w:bCs/>
          <w:color w:val="365F91" w:themeColor="accent1" w:themeShade="BF"/>
          <w:sz w:val="28"/>
          <w:szCs w:val="28"/>
          <w:lang w:eastAsia="ja-JP"/>
        </w:rPr>
        <w:t>Sources and data collection</w:t>
      </w:r>
      <w:bookmarkEnd w:id="34"/>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 xml:space="preserve">The </w:t>
      </w:r>
      <w:r w:rsidRPr="0053757E">
        <w:rPr>
          <w:rFonts w:asciiTheme="minorHAnsi" w:eastAsia="MS Mincho" w:hAnsiTheme="minorHAnsi"/>
          <w:color w:val="auto"/>
          <w:lang w:eastAsia="ja-JP"/>
        </w:rPr>
        <w:t xml:space="preserve">indicator on </w:t>
      </w:r>
      <w:r w:rsidRPr="0053757E">
        <w:rPr>
          <w:rFonts w:asciiTheme="minorHAnsi" w:eastAsia="MS Mincho" w:hAnsiTheme="minorHAnsi"/>
          <w:i/>
          <w:iCs/>
          <w:color w:val="auto"/>
          <w:lang w:eastAsia="ja-JP"/>
        </w:rPr>
        <w:t>broadband Internet prices</w:t>
      </w:r>
      <w:r w:rsidRPr="0053757E">
        <w:rPr>
          <w:rFonts w:asciiTheme="minorHAnsi" w:eastAsia="MS Mincho" w:hAnsiTheme="minorHAnsi"/>
          <w:color w:val="auto"/>
          <w:lang w:eastAsia="ja-JP"/>
        </w:rPr>
        <w:t xml:space="preserve"> is based on an internationally agreed definition and methodology, which have been developed under the coordination of ITU, through its Expert Groups and following an extensive</w:t>
      </w:r>
      <w:r w:rsidRPr="0053757E">
        <w:rPr>
          <w:rFonts w:asciiTheme="minorHAnsi" w:eastAsia="MS Mincho" w:hAnsiTheme="minorHAnsi"/>
          <w:color w:val="auto"/>
          <w:lang w:val="en-US"/>
        </w:rPr>
        <w:t xml:space="preserve"> consultation process with countries. It is </w:t>
      </w:r>
      <w:r w:rsidRPr="0053757E">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w:t>
      </w:r>
      <w:r w:rsidRPr="0053757E">
        <w:rPr>
          <w:rFonts w:asciiTheme="minorHAnsi" w:eastAsiaTheme="minorEastAsia" w:hAnsiTheme="minorHAnsi" w:cs="Arial"/>
          <w:color w:val="auto"/>
          <w:lang w:val="en-US"/>
        </w:rPr>
        <w:t xml:space="preserve">Data on </w:t>
      </w:r>
      <w:r w:rsidRPr="0053757E">
        <w:rPr>
          <w:rFonts w:asciiTheme="minorHAnsi" w:eastAsia="MS Mincho" w:hAnsiTheme="minorHAnsi"/>
          <w:i/>
          <w:iCs/>
          <w:color w:val="auto"/>
          <w:lang w:eastAsia="ja-JP"/>
        </w:rPr>
        <w:t>broadband Internet prices</w:t>
      </w:r>
      <w:r w:rsidRPr="0053757E">
        <w:rPr>
          <w:rFonts w:asciiTheme="minorHAnsi" w:eastAsiaTheme="minorEastAsia" w:hAnsiTheme="minorHAnsi" w:cs="Arial"/>
          <w:color w:val="auto"/>
          <w:lang w:val="en-US"/>
        </w:rPr>
        <w:t xml:space="preserve"> are also included in the ITU ICT Price Basket (IPB) and published yearly in the ITU’s </w:t>
      </w:r>
      <w:proofErr w:type="gramStart"/>
      <w:r w:rsidRPr="0053757E">
        <w:rPr>
          <w:rFonts w:asciiTheme="minorHAnsi" w:eastAsiaTheme="minorEastAsia" w:hAnsiTheme="minorHAnsi" w:cs="Arial"/>
          <w:i/>
          <w:iCs/>
          <w:color w:val="auto"/>
          <w:lang w:val="en-US"/>
        </w:rPr>
        <w:t>Measuring</w:t>
      </w:r>
      <w:proofErr w:type="gramEnd"/>
      <w:r w:rsidRPr="0053757E">
        <w:rPr>
          <w:rFonts w:asciiTheme="minorHAnsi" w:eastAsiaTheme="minorEastAsia" w:hAnsiTheme="minorHAnsi" w:cs="Arial"/>
          <w:i/>
          <w:iCs/>
          <w:color w:val="auto"/>
          <w:lang w:val="en-US"/>
        </w:rPr>
        <w:t xml:space="preserve"> the Information Society Report</w:t>
      </w:r>
      <w:r w:rsidRPr="0053757E">
        <w:rPr>
          <w:rFonts w:asciiTheme="minorHAnsi" w:eastAsiaTheme="minorEastAsia" w:hAnsiTheme="minorHAnsi" w:cs="Arial"/>
          <w:color w:val="auto"/>
          <w:lang w:val="en-US"/>
        </w:rPr>
        <w:t xml:space="preserve">, and thus considered a key metric for international comparisons of ICT developments. </w:t>
      </w:r>
    </w:p>
    <w:p w:rsidR="0053757E" w:rsidRPr="0053757E" w:rsidRDefault="0053757E" w:rsidP="0053757E">
      <w:pPr>
        <w:autoSpaceDE w:val="0"/>
        <w:autoSpaceDN w:val="0"/>
        <w:adjustRightInd w:val="0"/>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ITU collects data for this indicator through an annual questionnaire from national regulatory authorities or Information and Communication Technology Ministries, who collect the data from operators/Internet service providers. By 2014, data were available for 160 economies, from developed and developing regions, and covering all key global regions.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5" w:name="_Toc419471255"/>
      <w:r w:rsidRPr="0053757E">
        <w:rPr>
          <w:rFonts w:asciiTheme="majorHAnsi" w:eastAsiaTheme="majorEastAsia" w:hAnsiTheme="majorHAnsi" w:cstheme="majorBidi"/>
          <w:b/>
          <w:bCs/>
          <w:color w:val="365F91" w:themeColor="accent1" w:themeShade="BF"/>
          <w:sz w:val="28"/>
          <w:szCs w:val="28"/>
          <w:lang w:eastAsia="ja-JP"/>
        </w:rPr>
        <w:t>Disaggregation</w:t>
      </w:r>
      <w:bookmarkEnd w:id="35"/>
    </w:p>
    <w:p w:rsidR="0053757E" w:rsidRPr="0053757E" w:rsidRDefault="0053757E" w:rsidP="0053757E">
      <w:pPr>
        <w:keepNext/>
        <w:keepLines/>
        <w:rPr>
          <w:rFonts w:asciiTheme="minorHAnsi" w:eastAsia="MS Mincho" w:hAnsiTheme="minorHAnsi"/>
          <w:bCs/>
          <w:color w:val="auto"/>
          <w:lang w:eastAsia="ja-JP"/>
        </w:rPr>
      </w:pPr>
      <w:r w:rsidRPr="0053757E">
        <w:rPr>
          <w:rFonts w:asciiTheme="minorHAnsi" w:eastAsia="MS Mincho" w:hAnsiTheme="minorHAnsi"/>
          <w:color w:val="auto"/>
        </w:rPr>
        <w:t>Not applicable to this indicator.</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6" w:name="_Toc419471256"/>
      <w:r w:rsidRPr="0053757E">
        <w:rPr>
          <w:rFonts w:asciiTheme="majorHAnsi" w:eastAsiaTheme="majorEastAsia" w:hAnsiTheme="majorHAnsi" w:cstheme="majorBidi"/>
          <w:b/>
          <w:bCs/>
          <w:color w:val="365F91" w:themeColor="accent1" w:themeShade="BF"/>
          <w:sz w:val="28"/>
          <w:szCs w:val="28"/>
          <w:lang w:eastAsia="ja-JP"/>
        </w:rPr>
        <w:t>Comments and limitations</w:t>
      </w:r>
      <w:bookmarkEnd w:id="36"/>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 xml:space="preserve">There are some comparability issues linked to the indicator on </w:t>
      </w:r>
      <w:r w:rsidRPr="0053757E">
        <w:rPr>
          <w:rFonts w:asciiTheme="minorHAnsi" w:eastAsia="MS Mincho" w:hAnsiTheme="minorHAnsi"/>
          <w:i/>
          <w:iCs/>
          <w:color w:val="auto"/>
          <w:lang w:eastAsia="ja-JP"/>
        </w:rPr>
        <w:t xml:space="preserve">broadband Internet prices </w:t>
      </w:r>
      <w:r w:rsidRPr="0053757E">
        <w:rPr>
          <w:rFonts w:asciiTheme="minorHAnsi" w:eastAsia="MS Mincho" w:hAnsiTheme="minorHAnsi"/>
          <w:color w:val="auto"/>
          <w:lang w:eastAsia="ja-JP"/>
        </w:rPr>
        <w:t>since</w:t>
      </w:r>
      <w:r w:rsidRPr="0053757E">
        <w:rPr>
          <w:rFonts w:asciiTheme="minorHAnsi" w:eastAsia="MS Mincho" w:hAnsiTheme="minorHAnsi"/>
          <w:color w:val="auto"/>
          <w:lang w:val="en-US"/>
        </w:rPr>
        <w:t xml:space="preserve"> some operators offer broadband Internet services that include other services (for example free telephone calls). In addition, the indicator is not always comparable because the speed of the minimum broadband entry-level plan (the cheapest plan with a download speed </w:t>
      </w:r>
      <w:proofErr w:type="gramStart"/>
      <w:r w:rsidRPr="0053757E">
        <w:rPr>
          <w:rFonts w:asciiTheme="minorHAnsi" w:eastAsia="MS Mincho" w:hAnsiTheme="minorHAnsi"/>
          <w:color w:val="auto"/>
          <w:lang w:val="en-US"/>
        </w:rPr>
        <w:t xml:space="preserve">of at least 256 </w:t>
      </w:r>
      <w:proofErr w:type="spellStart"/>
      <w:r w:rsidRPr="0053757E">
        <w:rPr>
          <w:rFonts w:asciiTheme="minorHAnsi" w:eastAsia="MS Mincho" w:hAnsiTheme="minorHAnsi"/>
          <w:color w:val="auto"/>
          <w:lang w:val="en-US"/>
        </w:rPr>
        <w:t>kbit</w:t>
      </w:r>
      <w:proofErr w:type="spellEnd"/>
      <w:r w:rsidRPr="0053757E">
        <w:rPr>
          <w:rFonts w:asciiTheme="minorHAnsi" w:eastAsia="MS Mincho" w:hAnsiTheme="minorHAnsi"/>
          <w:color w:val="auto"/>
          <w:lang w:val="en-US"/>
        </w:rPr>
        <w:t>/s</w:t>
      </w:r>
      <w:proofErr w:type="gramEnd"/>
      <w:r w:rsidRPr="0053757E">
        <w:rPr>
          <w:rFonts w:asciiTheme="minorHAnsi" w:eastAsia="MS Mincho" w:hAnsiTheme="minorHAnsi"/>
          <w:color w:val="auto"/>
          <w:lang w:val="en-US"/>
        </w:rPr>
        <w:t xml:space="preserve">) varies between countries. Another factor that may affect comparability is the practice in some countries or operators of separating the broadband access charge from the Internet access charge. The data should refer only to the price of the Internet access. For mobile broadband prices, </w:t>
      </w:r>
      <w:r w:rsidRPr="0053757E">
        <w:rPr>
          <w:rFonts w:asciiTheme="minorHAnsi" w:eastAsia="MS Mincho" w:hAnsiTheme="minorHAnsi"/>
          <w:color w:val="auto"/>
          <w:lang w:eastAsia="ja-JP"/>
        </w:rPr>
        <w:t>the data volume included in the monthly allowance (the data cap) may vary between countries, and not always correspond to exactly 1GB (but include more than 1GB).</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7" w:name="_Toc419471257"/>
      <w:r w:rsidRPr="0053757E">
        <w:rPr>
          <w:rFonts w:asciiTheme="majorHAnsi" w:eastAsiaTheme="majorEastAsia" w:hAnsiTheme="majorHAnsi" w:cstheme="majorBidi"/>
          <w:b/>
          <w:bCs/>
          <w:color w:val="365F91" w:themeColor="accent1" w:themeShade="BF"/>
          <w:sz w:val="28"/>
          <w:szCs w:val="28"/>
          <w:lang w:eastAsia="ja-JP"/>
        </w:rPr>
        <w:t>Gender equality issues</w:t>
      </w:r>
      <w:bookmarkEnd w:id="37"/>
    </w:p>
    <w:p w:rsidR="0053757E" w:rsidRPr="0053757E" w:rsidRDefault="0053757E" w:rsidP="0053757E">
      <w:pPr>
        <w:autoSpaceDE w:val="0"/>
        <w:autoSpaceDN w:val="0"/>
        <w:adjustRightInd w:val="0"/>
        <w:rPr>
          <w:rFonts w:asciiTheme="minorHAnsi" w:eastAsia="MS Mincho" w:hAnsiTheme="minorHAnsi"/>
          <w:bCs/>
          <w:color w:val="auto"/>
          <w:lang w:eastAsia="ja-JP"/>
        </w:rPr>
      </w:pPr>
      <w:r w:rsidRPr="0053757E">
        <w:rPr>
          <w:rFonts w:asciiTheme="minorHAnsi" w:eastAsia="MS Mincho" w:hAnsiTheme="minorHAnsi"/>
          <w:color w:val="auto"/>
        </w:rPr>
        <w:t xml:space="preserve">Data cannot be broken down by gender.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8" w:name="_Toc419471258"/>
      <w:r w:rsidRPr="0053757E">
        <w:rPr>
          <w:rFonts w:asciiTheme="majorHAnsi" w:eastAsiaTheme="majorEastAsia" w:hAnsiTheme="majorHAnsi" w:cstheme="majorBidi"/>
          <w:b/>
          <w:bCs/>
          <w:color w:val="365F91" w:themeColor="accent1" w:themeShade="BF"/>
          <w:sz w:val="28"/>
          <w:szCs w:val="28"/>
          <w:lang w:eastAsia="ja-JP"/>
        </w:rPr>
        <w:lastRenderedPageBreak/>
        <w:t>Data for global and regional monitoring</w:t>
      </w:r>
      <w:bookmarkEnd w:id="38"/>
    </w:p>
    <w:p w:rsidR="0053757E" w:rsidRPr="0053757E" w:rsidRDefault="0053757E" w:rsidP="0053757E">
      <w:pPr>
        <w:autoSpaceDE w:val="0"/>
        <w:autoSpaceDN w:val="0"/>
        <w:adjustRightInd w:val="0"/>
        <w:rPr>
          <w:rFonts w:asciiTheme="minorHAnsi" w:eastAsia="MS Mincho" w:hAnsiTheme="minorHAnsi"/>
          <w:color w:val="auto"/>
          <w:lang w:eastAsia="ja-JP"/>
        </w:rPr>
      </w:pPr>
      <w:r w:rsidRPr="0053757E">
        <w:rPr>
          <w:rFonts w:asciiTheme="minorHAnsi" w:eastAsia="MS Mincho" w:hAnsiTheme="minorHAnsi"/>
          <w:color w:val="auto"/>
          <w:lang w:eastAsia="ja-JP"/>
        </w:rPr>
        <w:t xml:space="preserve">Data for the indicator </w:t>
      </w:r>
      <w:r w:rsidRPr="0053757E">
        <w:rPr>
          <w:rFonts w:asciiTheme="minorHAnsi" w:eastAsia="MS Mincho" w:hAnsiTheme="minorHAnsi"/>
          <w:i/>
          <w:iCs/>
          <w:color w:val="auto"/>
          <w:lang w:eastAsia="ja-JP"/>
        </w:rPr>
        <w:t>broadband Internet prices</w:t>
      </w:r>
      <w:r w:rsidRPr="0053757E">
        <w:rPr>
          <w:rFonts w:asciiTheme="minorHAnsi" w:eastAsia="MS Mincho" w:hAnsiTheme="minorHAnsi"/>
          <w:color w:val="auto"/>
        </w:rPr>
        <w:t xml:space="preserve"> are available for about 160 economies and </w:t>
      </w:r>
      <w:r w:rsidRPr="0053757E">
        <w:rPr>
          <w:rFonts w:asciiTheme="minorHAnsi" w:eastAsia="MS Mincho" w:hAnsiTheme="minorHAnsi"/>
          <w:color w:val="auto"/>
          <w:lang w:eastAsia="ja-JP"/>
        </w:rPr>
        <w:t xml:space="preserve">ITU produces regional and global aggregates, annually.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9" w:name="_Toc419471259"/>
      <w:r w:rsidRPr="0053757E">
        <w:rPr>
          <w:rFonts w:asciiTheme="majorHAnsi" w:eastAsiaTheme="majorEastAsia" w:hAnsiTheme="majorHAnsi" w:cstheme="majorBidi"/>
          <w:b/>
          <w:bCs/>
          <w:color w:val="365F91" w:themeColor="accent1" w:themeShade="BF"/>
          <w:sz w:val="28"/>
          <w:szCs w:val="28"/>
          <w:lang w:eastAsia="ja-JP"/>
        </w:rPr>
        <w:t>Supplementary information</w:t>
      </w:r>
      <w:bookmarkEnd w:id="39"/>
    </w:p>
    <w:p w:rsidR="0053757E" w:rsidRPr="0053757E" w:rsidRDefault="0053757E" w:rsidP="0053757E">
      <w:pPr>
        <w:autoSpaceDE w:val="0"/>
        <w:autoSpaceDN w:val="0"/>
        <w:adjustRightInd w:val="0"/>
        <w:rPr>
          <w:rFonts w:asciiTheme="minorHAnsi" w:eastAsia="MS Mincho" w:hAnsiTheme="minorHAnsi"/>
          <w:color w:val="auto"/>
          <w:lang w:eastAsia="ja-JP"/>
        </w:rPr>
      </w:pPr>
      <w:r w:rsidRPr="0053757E">
        <w:rPr>
          <w:rFonts w:asciiTheme="minorHAnsi" w:eastAsia="MS Mincho" w:hAnsiTheme="minorHAnsi"/>
          <w:color w:val="auto"/>
          <w:lang w:eastAsia="ja-JP"/>
        </w:rPr>
        <w:t xml:space="preserve">Year-end data are released in June of the following year through the ITU World Telecommunication/ICT Indicators Database.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0" w:name="_Toc419471260"/>
      <w:r w:rsidRPr="0053757E">
        <w:rPr>
          <w:rFonts w:asciiTheme="majorHAnsi" w:eastAsiaTheme="majorEastAsia" w:hAnsiTheme="majorHAnsi" w:cstheme="majorBidi"/>
          <w:b/>
          <w:bCs/>
          <w:color w:val="365F91" w:themeColor="accent1" w:themeShade="BF"/>
          <w:sz w:val="28"/>
          <w:szCs w:val="28"/>
          <w:lang w:eastAsia="ja-JP"/>
        </w:rPr>
        <w:t>References:</w:t>
      </w:r>
      <w:bookmarkEnd w:id="40"/>
    </w:p>
    <w:p w:rsidR="0053757E" w:rsidRPr="0053757E" w:rsidRDefault="0053757E" w:rsidP="0053757E">
      <w:pPr>
        <w:numPr>
          <w:ilvl w:val="0"/>
          <w:numId w:val="3"/>
        </w:numPr>
        <w:contextualSpacing/>
        <w:rPr>
          <w:rFonts w:asciiTheme="minorHAnsi" w:eastAsia="MS Mincho" w:hAnsiTheme="minorHAnsi"/>
          <w:color w:val="auto"/>
          <w:lang w:eastAsia="ja-JP"/>
        </w:rPr>
      </w:pPr>
      <w:hyperlink r:id="rId9" w:history="1">
        <w:r w:rsidRPr="0053757E">
          <w:rPr>
            <w:rFonts w:asciiTheme="minorHAnsi" w:eastAsia="MS Mincho" w:hAnsiTheme="minorHAnsi" w:cs="Segoe UI"/>
            <w:color w:val="auto"/>
            <w:lang w:val="en-US" w:eastAsia="ja-JP"/>
          </w:rPr>
          <w:t>ITU Handbook for the Collection of Administrative Data on Telecommunications/ICT</w:t>
        </w:r>
      </w:hyperlink>
      <w:r w:rsidRPr="0053757E">
        <w:rPr>
          <w:rFonts w:asciiTheme="minorHAnsi" w:eastAsia="MS Mincho" w:hAnsiTheme="minorHAnsi"/>
          <w:color w:val="auto"/>
          <w:lang w:val="en-US" w:eastAsia="ja-JP"/>
        </w:rPr>
        <w:t>, 2011 (and revisions and new indicators)</w:t>
      </w:r>
    </w:p>
    <w:p w:rsidR="0053757E" w:rsidRPr="0053757E" w:rsidRDefault="0053757E" w:rsidP="0053757E">
      <w:pPr>
        <w:numPr>
          <w:ilvl w:val="0"/>
          <w:numId w:val="3"/>
        </w:numPr>
        <w:contextualSpacing/>
        <w:rPr>
          <w:rFonts w:asciiTheme="minorHAnsi" w:eastAsia="MS Mincho" w:hAnsiTheme="minorHAnsi"/>
          <w:color w:val="auto"/>
          <w:lang w:eastAsia="ja-JP"/>
        </w:rPr>
      </w:pPr>
      <w:hyperlink r:id="rId10" w:anchor="questionnaires" w:history="1">
        <w:r w:rsidRPr="0053757E">
          <w:rPr>
            <w:rFonts w:asciiTheme="minorHAnsi" w:eastAsia="MS Mincho" w:hAnsiTheme="minorHAnsi" w:cs="Segoe UI"/>
            <w:color w:val="0000FF"/>
            <w:u w:val="single"/>
            <w:lang w:val="en-US" w:eastAsia="ja-JP"/>
          </w:rPr>
          <w:t>ITU ICT Price Basket Rules</w:t>
        </w:r>
      </w:hyperlink>
    </w:p>
    <w:p w:rsidR="0053757E" w:rsidRPr="0053757E" w:rsidRDefault="0053757E" w:rsidP="0053757E">
      <w:pPr>
        <w:numPr>
          <w:ilvl w:val="0"/>
          <w:numId w:val="3"/>
        </w:numPr>
        <w:contextualSpacing/>
        <w:rPr>
          <w:rFonts w:asciiTheme="minorHAnsi" w:eastAsia="MS Mincho" w:hAnsiTheme="minorHAnsi"/>
          <w:color w:val="auto"/>
          <w:lang w:eastAsia="ja-JP"/>
        </w:rPr>
      </w:pPr>
      <w:hyperlink r:id="rId11" w:history="1">
        <w:r w:rsidRPr="0053757E">
          <w:rPr>
            <w:rFonts w:asciiTheme="minorHAnsi" w:eastAsia="MS Mincho" w:hAnsiTheme="minorHAnsi"/>
            <w:color w:val="0000FF"/>
            <w:u w:val="single"/>
            <w:lang w:eastAsia="ja-JP"/>
          </w:rPr>
          <w:t>ITU Measuring the Information Society Report</w:t>
        </w:r>
      </w:hyperlink>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1" w:name="_Toc419471261"/>
      <w:r w:rsidRPr="0053757E">
        <w:rPr>
          <w:rFonts w:asciiTheme="majorHAnsi" w:eastAsiaTheme="majorEastAsia" w:hAnsiTheme="majorHAnsi" w:cstheme="majorBidi"/>
          <w:b/>
          <w:bCs/>
          <w:color w:val="365F91" w:themeColor="accent1" w:themeShade="BF"/>
          <w:sz w:val="28"/>
          <w:szCs w:val="28"/>
          <w:lang w:eastAsia="ja-JP"/>
        </w:rPr>
        <w:t>Targets for which indicator are relevant:</w:t>
      </w:r>
      <w:bookmarkEnd w:id="41"/>
    </w:p>
    <w:p w:rsidR="0053757E" w:rsidRPr="0053757E" w:rsidRDefault="0053757E" w:rsidP="0053757E">
      <w:pPr>
        <w:contextualSpacing/>
        <w:rPr>
          <w:rFonts w:asciiTheme="minorHAnsi" w:eastAsia="MS Mincho" w:hAnsiTheme="minorHAnsi"/>
          <w:color w:val="auto"/>
          <w:lang w:eastAsia="ja-JP"/>
        </w:rPr>
      </w:pPr>
      <w:r w:rsidRPr="0053757E">
        <w:rPr>
          <w:rFonts w:asciiTheme="minorHAnsi" w:eastAsia="MS Mincho" w:hAnsiTheme="minorHAnsi"/>
          <w:color w:val="auto"/>
          <w:lang w:eastAsia="ja-JP"/>
        </w:rPr>
        <w:t>9.1</w:t>
      </w:r>
    </w:p>
    <w:p w:rsidR="0053757E" w:rsidRPr="0053757E" w:rsidRDefault="0053757E" w:rsidP="0053757E">
      <w:pPr>
        <w:contextualSpacing/>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sectPr w:rsidR="0053757E" w:rsidRPr="0053757E">
          <w:pgSz w:w="12240" w:h="15840"/>
          <w:pgMar w:top="1440" w:right="1440" w:bottom="1440" w:left="1440" w:header="708" w:footer="708" w:gutter="0"/>
          <w:cols w:space="708"/>
          <w:docGrid w:linePitch="360"/>
        </w:sectPr>
      </w:pPr>
    </w:p>
    <w:p w:rsidR="0053757E" w:rsidRPr="0053757E" w:rsidRDefault="0053757E" w:rsidP="0053757E">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53757E" w:rsidRPr="0053757E" w:rsidRDefault="0053757E" w:rsidP="0053757E">
      <w:pPr>
        <w:autoSpaceDE w:val="0"/>
        <w:autoSpaceDN w:val="0"/>
        <w:adjustRightInd w:val="0"/>
        <w:jc w:val="center"/>
        <w:outlineLvl w:val="1"/>
        <w:rPr>
          <w:rFonts w:asciiTheme="majorHAnsi" w:eastAsia="SimSun" w:hAnsiTheme="majorHAnsi"/>
          <w:b/>
          <w:bCs/>
          <w:color w:val="365F91" w:themeColor="accent1" w:themeShade="BF"/>
          <w:sz w:val="32"/>
          <w:szCs w:val="32"/>
          <w:lang w:eastAsia="zh-CN"/>
        </w:rPr>
      </w:pPr>
      <w:bookmarkStart w:id="42" w:name="_Toc419471262"/>
      <w:bookmarkStart w:id="43" w:name="_Toc419471513"/>
      <w:bookmarkStart w:id="44" w:name="_Toc419471762"/>
      <w:bookmarkStart w:id="45" w:name="_Toc419472839"/>
      <w:r w:rsidRPr="0053757E">
        <w:rPr>
          <w:rFonts w:asciiTheme="majorHAnsi" w:eastAsia="SimSun" w:hAnsiTheme="majorHAnsi"/>
          <w:b/>
          <w:bCs/>
          <w:color w:val="365F91" w:themeColor="accent1" w:themeShade="BF"/>
          <w:sz w:val="32"/>
          <w:szCs w:val="32"/>
          <w:lang w:eastAsia="zh-CN"/>
        </w:rPr>
        <w:t>Technical information sheet for the proposed SDG indicator “</w:t>
      </w:r>
      <w:bookmarkEnd w:id="42"/>
      <w:r w:rsidRPr="0053757E">
        <w:rPr>
          <w:rFonts w:asciiTheme="majorHAnsi" w:eastAsia="SimSun" w:hAnsiTheme="majorHAnsi"/>
          <w:b/>
          <w:bCs/>
          <w:color w:val="365F91" w:themeColor="accent1" w:themeShade="BF"/>
          <w:sz w:val="32"/>
          <w:szCs w:val="32"/>
          <w:lang w:eastAsia="zh-CN"/>
        </w:rPr>
        <w:t>Percentage of the population covered by a mobile network, broken down by technology”</w:t>
      </w:r>
      <w:bookmarkEnd w:id="43"/>
      <w:bookmarkEnd w:id="44"/>
      <w:bookmarkEnd w:id="45"/>
    </w:p>
    <w:p w:rsidR="0053757E" w:rsidRPr="0053757E" w:rsidRDefault="0053757E" w:rsidP="0053757E">
      <w:pPr>
        <w:autoSpaceDE w:val="0"/>
        <w:autoSpaceDN w:val="0"/>
        <w:adjustRightInd w:val="0"/>
        <w:jc w:val="center"/>
        <w:outlineLvl w:val="1"/>
        <w:rPr>
          <w:rFonts w:asciiTheme="minorHAnsi" w:eastAsiaTheme="majorEastAsia" w:hAnsiTheme="minorHAnsi" w:cstheme="majorBidi"/>
          <w:b/>
          <w:bCs/>
          <w:color w:val="1F497D" w:themeColor="text2"/>
          <w:sz w:val="28"/>
          <w:szCs w:val="28"/>
          <w:lang w:eastAsia="ja-JP"/>
        </w:rPr>
      </w:pPr>
    </w:p>
    <w:p w:rsidR="0053757E" w:rsidRPr="0053757E" w:rsidRDefault="0053757E" w:rsidP="0053757E">
      <w:pPr>
        <w:rPr>
          <w:rFonts w:asciiTheme="minorHAnsi" w:eastAsia="SimSun" w:hAnsiTheme="minorHAnsi"/>
          <w:b/>
          <w:bCs/>
          <w:color w:val="auto"/>
          <w:sz w:val="32"/>
          <w:szCs w:val="32"/>
          <w:lang w:eastAsia="zh-CN"/>
        </w:rPr>
      </w:pPr>
      <w:bookmarkStart w:id="46" w:name="_Toc419471263"/>
      <w:r w:rsidRPr="0053757E">
        <w:rPr>
          <w:rFonts w:asciiTheme="majorHAnsi" w:eastAsiaTheme="majorEastAsia" w:hAnsiTheme="majorHAnsi" w:cstheme="majorBidi"/>
          <w:b/>
          <w:bCs/>
          <w:color w:val="365F91" w:themeColor="accent1" w:themeShade="BF"/>
          <w:sz w:val="28"/>
          <w:szCs w:val="28"/>
          <w:lang w:eastAsia="ja-JP"/>
        </w:rPr>
        <w:t>Goal and target addressed:</w:t>
      </w:r>
      <w:bookmarkEnd w:id="46"/>
      <w:r w:rsidRPr="0053757E">
        <w:rPr>
          <w:rFonts w:asciiTheme="minorHAnsi" w:eastAsia="MS Mincho" w:hAnsiTheme="minorHAnsi"/>
          <w:color w:val="auto"/>
          <w:lang w:eastAsia="ja-JP"/>
        </w:rPr>
        <w:t xml:space="preserve"> </w:t>
      </w:r>
    </w:p>
    <w:p w:rsidR="0053757E" w:rsidRPr="0053757E" w:rsidRDefault="0053757E" w:rsidP="0053757E">
      <w:pPr>
        <w:rPr>
          <w:rFonts w:asciiTheme="minorHAnsi" w:eastAsia="MS Mincho" w:hAnsiTheme="minorHAnsi"/>
          <w:color w:val="auto"/>
          <w:lang w:eastAsia="ja-JP"/>
        </w:rPr>
      </w:pPr>
      <w:bookmarkStart w:id="47" w:name="_Toc419471264"/>
      <w:bookmarkStart w:id="48" w:name="_Toc419471763"/>
      <w:bookmarkStart w:id="49" w:name="_Toc419472840"/>
      <w:r w:rsidRPr="0053757E">
        <w:rPr>
          <w:rFonts w:asciiTheme="minorHAnsi" w:eastAsia="MS Mincho" w:hAnsiTheme="minorHAnsi"/>
          <w:color w:val="auto"/>
          <w:lang w:eastAsia="ja-JP"/>
        </w:rPr>
        <w:t>Goal 9: Build resilient infrastructure, promote inclusive and sustainable industrialization and foster innovation</w:t>
      </w:r>
      <w:bookmarkEnd w:id="47"/>
      <w:bookmarkEnd w:id="48"/>
      <w:bookmarkEnd w:id="49"/>
    </w:p>
    <w:p w:rsidR="0053757E" w:rsidRPr="0053757E" w:rsidRDefault="0053757E" w:rsidP="0053757E">
      <w:pPr>
        <w:rPr>
          <w:rFonts w:asciiTheme="minorHAnsi" w:eastAsia="MS Mincho" w:hAnsiTheme="minorHAnsi"/>
          <w:color w:val="auto"/>
          <w:lang w:eastAsia="zh-CN"/>
        </w:rPr>
      </w:pPr>
      <w:bookmarkStart w:id="50" w:name="_Toc419471265"/>
      <w:bookmarkStart w:id="51" w:name="_Toc419471764"/>
      <w:bookmarkStart w:id="52" w:name="_Toc419472841"/>
      <w:r w:rsidRPr="0053757E">
        <w:rPr>
          <w:rFonts w:asciiTheme="minorHAnsi" w:eastAsia="MS Mincho" w:hAnsiTheme="minorHAnsi"/>
          <w:color w:val="auto"/>
          <w:lang w:eastAsia="ja-JP"/>
        </w:rPr>
        <w:t>Target 9.c: significantly increase access to ICT and strive to provide universal and affordable access to internet in LDCs, by 2020</w:t>
      </w:r>
      <w:bookmarkEnd w:id="50"/>
      <w:bookmarkEnd w:id="51"/>
      <w:bookmarkEnd w:id="52"/>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53" w:name="_Toc419471266"/>
      <w:r w:rsidRPr="0053757E">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53"/>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eastAsia="zh-CN"/>
        </w:rPr>
        <w:t xml:space="preserve">The indicator </w:t>
      </w:r>
      <w:r w:rsidRPr="0053757E">
        <w:rPr>
          <w:rFonts w:asciiTheme="minorHAnsi" w:eastAsia="MS Mincho" w:hAnsiTheme="minorHAnsi" w:cs="Calibri,Bold"/>
          <w:i/>
          <w:iCs/>
          <w:color w:val="auto"/>
          <w:lang w:val="en-US"/>
        </w:rPr>
        <w:t>percentage of the population covered by a mobile network</w:t>
      </w:r>
      <w:r w:rsidRPr="0053757E">
        <w:rPr>
          <w:rFonts w:asciiTheme="minorHAnsi" w:eastAsia="MS Mincho" w:hAnsiTheme="minorHAnsi" w:cs="Calibri,Bold"/>
          <w:color w:val="auto"/>
          <w:lang w:val="en-US"/>
        </w:rPr>
        <w:t xml:space="preserve">, </w:t>
      </w:r>
      <w:r w:rsidRPr="0053757E">
        <w:rPr>
          <w:rFonts w:asciiTheme="minorHAnsi" w:eastAsia="MS Mincho" w:hAnsiTheme="minorHAnsi" w:cs="Calibri,Bold"/>
          <w:i/>
          <w:iCs/>
          <w:color w:val="auto"/>
          <w:lang w:val="en-US"/>
        </w:rPr>
        <w:t>broken down by technology</w:t>
      </w:r>
      <w:r w:rsidRPr="0053757E">
        <w:rPr>
          <w:rFonts w:asciiTheme="minorHAnsi" w:eastAsia="MS Mincho" w:hAnsiTheme="minorHAnsi" w:cs="Calibri,Italic"/>
          <w:color w:val="auto"/>
          <w:lang w:val="en-US"/>
        </w:rPr>
        <w:t>,</w:t>
      </w:r>
      <w:r w:rsidRPr="0053757E">
        <w:rPr>
          <w:rFonts w:asciiTheme="minorHAnsi" w:eastAsia="MS Mincho" w:hAnsiTheme="minorHAnsi" w:cs="Calibri,Italic"/>
          <w:i/>
          <w:iCs/>
          <w:color w:val="auto"/>
          <w:lang w:val="en-US"/>
        </w:rPr>
        <w:t xml:space="preserve"> </w:t>
      </w:r>
      <w:r w:rsidRPr="0053757E">
        <w:rPr>
          <w:rFonts w:asciiTheme="minorHAnsi" w:eastAsia="MS Mincho" w:hAnsiTheme="minorHAnsi"/>
          <w:color w:val="auto"/>
          <w:lang w:val="en-US"/>
        </w:rPr>
        <w:t>refers to the percentage of inhabitants living within range of a mobile-cellular signal, irrespective of whether or not they are mobile phone subscribers or users. This is calculated by dividing the number of inhabitants within range of a mobile-cellular signal by the total population and multiplying by 100.</w:t>
      </w:r>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ab/>
      </w:r>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The indicator is based on where the population lives, and not where they work or go to school, etc. When there are multiple operators offering the service, the maximum population number covered should be reported. Coverage should refer to broadband (3G and more) and narrowband (2G) mobile-cellular technologies and include:</w:t>
      </w:r>
    </w:p>
    <w:p w:rsidR="0053757E" w:rsidRPr="0053757E" w:rsidRDefault="0053757E" w:rsidP="0053757E">
      <w:pPr>
        <w:rPr>
          <w:rFonts w:asciiTheme="minorHAnsi" w:eastAsia="MS Mincho" w:hAnsiTheme="minorHAnsi"/>
          <w:color w:val="auto"/>
          <w:sz w:val="22"/>
          <w:szCs w:val="22"/>
          <w:lang w:val="en-US"/>
        </w:rPr>
      </w:pPr>
    </w:p>
    <w:p w:rsidR="0053757E" w:rsidRPr="0053757E" w:rsidRDefault="0053757E" w:rsidP="0053757E">
      <w:pPr>
        <w:numPr>
          <w:ilvl w:val="0"/>
          <w:numId w:val="5"/>
        </w:numPr>
        <w:contextualSpacing/>
        <w:rPr>
          <w:rFonts w:asciiTheme="minorHAnsi" w:eastAsia="MS Mincho" w:hAnsiTheme="minorHAnsi"/>
          <w:color w:val="auto"/>
          <w:lang w:val="en-US"/>
        </w:rPr>
      </w:pPr>
      <w:r w:rsidRPr="0053757E">
        <w:rPr>
          <w:rFonts w:asciiTheme="minorHAnsi" w:eastAsia="MS Mincho" w:hAnsiTheme="minorHAnsi"/>
          <w:color w:val="auto"/>
          <w:lang w:val="en-US"/>
        </w:rPr>
        <w:t xml:space="preserve">2G mobile population coverage: Mobile networks with access to data communications (e.g. Internet) at downstream speeds </w:t>
      </w:r>
      <w:proofErr w:type="gramStart"/>
      <w:r w:rsidRPr="0053757E">
        <w:rPr>
          <w:rFonts w:asciiTheme="minorHAnsi" w:eastAsia="MS Mincho" w:hAnsiTheme="minorHAnsi"/>
          <w:color w:val="auto"/>
          <w:lang w:val="en-US"/>
        </w:rPr>
        <w:t xml:space="preserve">below 256 </w:t>
      </w:r>
      <w:proofErr w:type="spellStart"/>
      <w:r w:rsidRPr="0053757E">
        <w:rPr>
          <w:rFonts w:asciiTheme="minorHAnsi" w:eastAsia="MS Mincho" w:hAnsiTheme="minorHAnsi"/>
          <w:color w:val="auto"/>
          <w:lang w:val="en-US"/>
        </w:rPr>
        <w:t>kbit</w:t>
      </w:r>
      <w:proofErr w:type="spellEnd"/>
      <w:r w:rsidRPr="0053757E">
        <w:rPr>
          <w:rFonts w:asciiTheme="minorHAnsi" w:eastAsia="MS Mincho" w:hAnsiTheme="minorHAnsi"/>
          <w:color w:val="auto"/>
          <w:lang w:val="en-US"/>
        </w:rPr>
        <w:t>/s</w:t>
      </w:r>
      <w:proofErr w:type="gramEnd"/>
      <w:r w:rsidRPr="0053757E">
        <w:rPr>
          <w:rFonts w:asciiTheme="minorHAnsi" w:eastAsia="MS Mincho" w:hAnsiTheme="minorHAnsi"/>
          <w:color w:val="auto"/>
          <w:lang w:val="en-US"/>
        </w:rPr>
        <w:t>. This includes mobile-cellular technologies such as GPRS, CDMA2000 1x and most EDGE implementations. The indicator refers to the theoretical ability of subscribers to use non-broadband speed mobile data services, rather than the number of active users of such services.</w:t>
      </w:r>
    </w:p>
    <w:p w:rsidR="0053757E" w:rsidRPr="0053757E" w:rsidRDefault="0053757E" w:rsidP="0053757E">
      <w:pPr>
        <w:numPr>
          <w:ilvl w:val="0"/>
          <w:numId w:val="5"/>
        </w:numPr>
        <w:contextualSpacing/>
        <w:rPr>
          <w:rFonts w:asciiTheme="minorHAnsi" w:eastAsia="MS Mincho" w:hAnsiTheme="minorHAnsi"/>
          <w:color w:val="auto"/>
          <w:lang w:val="en-US"/>
        </w:rPr>
      </w:pPr>
      <w:r w:rsidRPr="0053757E">
        <w:rPr>
          <w:rFonts w:asciiTheme="minorHAnsi" w:eastAsia="MS Mincho" w:hAnsiTheme="minorHAnsi"/>
          <w:color w:val="auto"/>
          <w:lang w:val="en-US"/>
        </w:rPr>
        <w:t xml:space="preserve">3G and above mobile-population coverage: Refers to the number of mobile-cellular subscriptions with access to data communications (e.g. the Internet) at broadband downstream speeds (defined here as greater than or equal to 256 </w:t>
      </w:r>
      <w:proofErr w:type="spellStart"/>
      <w:r w:rsidRPr="0053757E">
        <w:rPr>
          <w:rFonts w:asciiTheme="minorHAnsi" w:eastAsia="MS Mincho" w:hAnsiTheme="minorHAnsi"/>
          <w:color w:val="auto"/>
          <w:lang w:val="en-US"/>
        </w:rPr>
        <w:t>kbit</w:t>
      </w:r>
      <w:proofErr w:type="spellEnd"/>
      <w:r w:rsidRPr="0053757E">
        <w:rPr>
          <w:rFonts w:asciiTheme="minorHAnsi" w:eastAsia="MS Mincho" w:hAnsiTheme="minorHAnsi"/>
          <w:color w:val="auto"/>
          <w:lang w:val="en-US"/>
        </w:rPr>
        <w:t>/s). The indicator refers to the theoretical ability of subscribers to use broadband speed mobile data services, rather than the number of active users of such services. This includes all high-speed mobile-cellular telephone subscriptions with access to data communications, and includes mobile-cellular technologies such as WCDMA (UMTS) and associated technologies such as HSPA, CDMA2000 1x EV-DO, mobile WiMAX 802.16e and LTE. It excludes low-speed mobile-broadband subscriptions and fixed (wired) Internet subscriptions.</w:t>
      </w:r>
    </w:p>
    <w:p w:rsidR="0053757E" w:rsidRPr="0053757E" w:rsidRDefault="0053757E" w:rsidP="0053757E">
      <w:pPr>
        <w:autoSpaceDE w:val="0"/>
        <w:autoSpaceDN w:val="0"/>
        <w:adjustRightInd w:val="0"/>
        <w:rPr>
          <w:rFonts w:asciiTheme="minorHAnsi" w:eastAsiaTheme="minorEastAsia" w:hAnsiTheme="minorHAnsi" w:cs="Calibri"/>
          <w:color w:val="auto"/>
          <w:sz w:val="22"/>
          <w:szCs w:val="22"/>
          <w:lang w:val="en-US"/>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As technologies evolve and as more and more countries will deploy and commercialize more advanced mobile-broadband networks (4G, 5G etc.), the indicator will include further breakdowns.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Calibri" w:eastAsiaTheme="minorEastAsia" w:hAnsi="Calibri" w:cs="Calibri"/>
          <w:color w:val="auto"/>
          <w:lang w:val="en-US"/>
        </w:rPr>
      </w:pPr>
      <w:r w:rsidRPr="0053757E">
        <w:rPr>
          <w:rFonts w:asciiTheme="minorHAnsi" w:eastAsia="MS Mincho" w:hAnsiTheme="minorHAnsi"/>
          <w:color w:val="auto"/>
          <w:lang w:eastAsia="ja-JP"/>
        </w:rPr>
        <w:lastRenderedPageBreak/>
        <w:t xml:space="preserve">ITU collects data for this indicator through an annual questionnaire from national telecommunication regulatory authorities or Information and Communication Technology (ICT) Ministries, who collect the data from </w:t>
      </w:r>
      <w:r w:rsidRPr="0053757E">
        <w:rPr>
          <w:rFonts w:ascii="Calibri" w:eastAsiaTheme="minorEastAsia" w:hAnsi="Calibri" w:cs="Calibri"/>
          <w:color w:val="auto"/>
          <w:lang w:val="en-US"/>
        </w:rPr>
        <w:t xml:space="preserve">licensed mobile-cellular operators. However, they are likely to have different levels and locations of coverage. Another method would be to request each operator’s coverage maps, which can be overlaid with maps showing the population of the country.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4" w:name="_Toc419471267"/>
      <w:r w:rsidRPr="0053757E">
        <w:rPr>
          <w:rFonts w:asciiTheme="majorHAnsi" w:eastAsiaTheme="majorEastAsia" w:hAnsiTheme="majorHAnsi" w:cstheme="majorBidi"/>
          <w:b/>
          <w:bCs/>
          <w:color w:val="365F91" w:themeColor="accent1" w:themeShade="BF"/>
          <w:sz w:val="28"/>
          <w:szCs w:val="28"/>
          <w:lang w:eastAsia="ja-JP"/>
        </w:rPr>
        <w:t>Rationale and interpretation</w:t>
      </w:r>
      <w:bookmarkEnd w:id="54"/>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The percentage of the population covered by a mobile cellular network can be considered as a minimum indicator for ICT access since it provides people with the possibility to subscribe to and use mobile-cellular services to communicate. Over the last decade, mobile-cellular networks have expanded rapidly and helped overcome very basic infrastructure barriers that existed when fixed-telephone networks – often limited to urban and highly populated areas - were the dominant telecommunication infrastructure.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While 2G (narrowband) mobile-cellular networks offer limited (and mainly voice-based) services, higher-speed networks provide increasingly high-speed, reliable and high-quality access to the Internet and its  increasing amount of information, content, services, and applications. Mobile networks are therefore essential to overcoming infrastructure barriers, helping people join the information society and benefit from the potential of ICTs, in particular in least developed countries. </w:t>
      </w:r>
    </w:p>
    <w:p w:rsidR="0053757E" w:rsidRPr="0053757E" w:rsidRDefault="0053757E" w:rsidP="0053757E">
      <w:pPr>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The indicator highlights the importance of mobile networks in providing basic, as well as advanced communication services and will help </w:t>
      </w:r>
      <w:r w:rsidRPr="0053757E">
        <w:rPr>
          <w:rFonts w:asciiTheme="minorHAnsi" w:eastAsiaTheme="minorEastAsia" w:hAnsiTheme="minorHAnsi" w:cs="Arial"/>
          <w:color w:val="auto"/>
          <w:lang w:val="en-US"/>
        </w:rPr>
        <w:t>design targeted policies to overcome remaining infrastructure barriers, and address the digital divide. Many governments track this indicator and have set specific targets in terms of the mobile population coverage (by technology) that operators must achieve.</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5" w:name="_Toc419471268"/>
      <w:r w:rsidRPr="0053757E">
        <w:rPr>
          <w:rFonts w:asciiTheme="majorHAnsi" w:eastAsiaTheme="majorEastAsia" w:hAnsiTheme="majorHAnsi" w:cstheme="majorBidi"/>
          <w:b/>
          <w:bCs/>
          <w:color w:val="365F91" w:themeColor="accent1" w:themeShade="BF"/>
          <w:sz w:val="28"/>
          <w:szCs w:val="28"/>
          <w:lang w:eastAsia="ja-JP"/>
        </w:rPr>
        <w:t>Sources and data collection</w:t>
      </w:r>
      <w:bookmarkEnd w:id="55"/>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 xml:space="preserve">This indicator is based on an internationally agreed definition and methodology, which have been developed under the coordination of ITU, through its Expert Groups and following an extensive consultation process with countries. It is </w:t>
      </w:r>
      <w:r w:rsidRPr="0053757E">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w:t>
      </w:r>
    </w:p>
    <w:p w:rsidR="0053757E" w:rsidRPr="0053757E" w:rsidRDefault="0053757E" w:rsidP="0053757E">
      <w:pPr>
        <w:autoSpaceDE w:val="0"/>
        <w:autoSpaceDN w:val="0"/>
        <w:adjustRightInd w:val="0"/>
        <w:rPr>
          <w:rFonts w:asciiTheme="minorHAnsi" w:eastAsia="MS Mincho" w:hAnsiTheme="minorHAnsi"/>
          <w:color w:val="auto"/>
          <w:lang w:eastAsia="ja-JP"/>
        </w:rPr>
      </w:pPr>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 xml:space="preserve">ITU collects data for this indicator through an annual questionnaire from national regulatory authorities or Information and Communication Technology Ministries, who collect the data from Internet service providers. By 2014, data </w:t>
      </w:r>
      <w:proofErr w:type="gramStart"/>
      <w:r w:rsidRPr="0053757E">
        <w:rPr>
          <w:rFonts w:asciiTheme="minorHAnsi" w:eastAsia="MS Mincho" w:hAnsiTheme="minorHAnsi"/>
          <w:color w:val="auto"/>
          <w:lang w:eastAsia="ja-JP"/>
        </w:rPr>
        <w:t>on 2G mobile population coverage</w:t>
      </w:r>
      <w:proofErr w:type="gramEnd"/>
      <w:r w:rsidRPr="0053757E">
        <w:rPr>
          <w:rFonts w:asciiTheme="minorHAnsi" w:eastAsia="MS Mincho" w:hAnsiTheme="minorHAnsi"/>
          <w:color w:val="auto"/>
          <w:lang w:eastAsia="ja-JP"/>
        </w:rPr>
        <w:t xml:space="preserve"> were available for about 144 countries, from developed and developing regions, and covering all key global regions. Data on 3G mobile population coverage were available for 135 countries. ITU publishes data on this indicator yearly.</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6" w:name="_Toc419471269"/>
      <w:r w:rsidRPr="0053757E">
        <w:rPr>
          <w:rFonts w:asciiTheme="majorHAnsi" w:eastAsiaTheme="majorEastAsia" w:hAnsiTheme="majorHAnsi" w:cstheme="majorBidi"/>
          <w:b/>
          <w:bCs/>
          <w:color w:val="365F91" w:themeColor="accent1" w:themeShade="BF"/>
          <w:sz w:val="28"/>
          <w:szCs w:val="28"/>
          <w:lang w:eastAsia="ja-JP"/>
        </w:rPr>
        <w:lastRenderedPageBreak/>
        <w:t>Disaggregation</w:t>
      </w:r>
      <w:bookmarkEnd w:id="56"/>
    </w:p>
    <w:p w:rsidR="0053757E" w:rsidRPr="0053757E" w:rsidRDefault="0053757E" w:rsidP="0053757E">
      <w:pPr>
        <w:keepNext/>
        <w:keepLines/>
        <w:rPr>
          <w:rFonts w:asciiTheme="minorHAnsi" w:eastAsia="MS Mincho" w:hAnsiTheme="minorHAnsi"/>
          <w:color w:val="auto"/>
        </w:rPr>
      </w:pPr>
      <w:r w:rsidRPr="0053757E">
        <w:rPr>
          <w:rFonts w:asciiTheme="minorHAnsi" w:eastAsia="MS Mincho" w:hAnsiTheme="minorHAnsi"/>
          <w:color w:val="auto"/>
        </w:rPr>
        <w:t xml:space="preserve">Based on the data for the </w:t>
      </w:r>
      <w:r w:rsidRPr="0053757E">
        <w:rPr>
          <w:rFonts w:asciiTheme="minorHAnsi" w:eastAsia="MS Mincho" w:hAnsiTheme="minorHAnsi" w:cs="Calibri,Bold"/>
          <w:i/>
          <w:iCs/>
          <w:color w:val="auto"/>
          <w:lang w:val="en-US"/>
        </w:rPr>
        <w:t>percentage of the population covered by a mobile network</w:t>
      </w:r>
      <w:r w:rsidRPr="0053757E">
        <w:rPr>
          <w:rFonts w:asciiTheme="minorHAnsi" w:eastAsia="MS Mincho" w:hAnsiTheme="minorHAnsi" w:cs="Calibri,Bold"/>
          <w:color w:val="auto"/>
          <w:lang w:val="en-US"/>
        </w:rPr>
        <w:t xml:space="preserve">, </w:t>
      </w:r>
      <w:r w:rsidRPr="0053757E">
        <w:rPr>
          <w:rFonts w:asciiTheme="minorHAnsi" w:eastAsia="MS Mincho" w:hAnsiTheme="minorHAnsi" w:cs="Calibri,Bold"/>
          <w:i/>
          <w:iCs/>
          <w:color w:val="auto"/>
          <w:lang w:val="en-US"/>
        </w:rPr>
        <w:t>broken down by technology</w:t>
      </w:r>
      <w:r w:rsidRPr="0053757E">
        <w:rPr>
          <w:rFonts w:asciiTheme="minorHAnsi" w:eastAsiaTheme="minorEastAsia" w:hAnsiTheme="minorHAnsi" w:cs="Calibri,Bold"/>
          <w:color w:val="auto"/>
          <w:lang w:val="en-US"/>
        </w:rPr>
        <w:t xml:space="preserve">, and on rural population figures, countries can produce estimates on rural and urban population coverage. </w:t>
      </w:r>
      <w:r w:rsidRPr="0053757E">
        <w:rPr>
          <w:rFonts w:asciiTheme="minorHAnsi" w:eastAsia="MS Mincho" w:hAnsiTheme="minorHAnsi"/>
          <w:color w:val="auto"/>
        </w:rPr>
        <w:t xml:space="preserve">ITU produces global estimates for the rural population coverage, by technology.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7" w:name="_Toc419471270"/>
      <w:r w:rsidRPr="0053757E">
        <w:rPr>
          <w:rFonts w:asciiTheme="majorHAnsi" w:eastAsiaTheme="majorEastAsia" w:hAnsiTheme="majorHAnsi" w:cstheme="majorBidi"/>
          <w:b/>
          <w:bCs/>
          <w:color w:val="365F91" w:themeColor="accent1" w:themeShade="BF"/>
          <w:sz w:val="28"/>
          <w:szCs w:val="28"/>
          <w:lang w:eastAsia="ja-JP"/>
        </w:rPr>
        <w:t>Comments and limitations</w:t>
      </w:r>
      <w:bookmarkEnd w:id="57"/>
    </w:p>
    <w:p w:rsidR="0053757E" w:rsidRPr="0053757E" w:rsidRDefault="0053757E" w:rsidP="0053757E">
      <w:pPr>
        <w:rPr>
          <w:rFonts w:asciiTheme="minorHAnsi" w:eastAsia="MS Mincho" w:hAnsiTheme="minorHAnsi"/>
          <w:color w:val="auto"/>
          <w:lang w:val="en-US"/>
        </w:rPr>
      </w:pPr>
      <w:r w:rsidRPr="0053757E">
        <w:rPr>
          <w:rFonts w:asciiTheme="minorHAnsi" w:eastAsia="MS Mincho" w:hAnsiTheme="minorHAnsi"/>
          <w:color w:val="auto"/>
          <w:lang w:val="en-US"/>
        </w:rPr>
        <w:t xml:space="preserve">Some countries have difficulty calculating overall mobile-cellular population coverage. In some cases, data refer only to the operator with the largest coverage, and this may understate the true coverage.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8" w:name="_Toc419471271"/>
      <w:r w:rsidRPr="0053757E">
        <w:rPr>
          <w:rFonts w:asciiTheme="majorHAnsi" w:eastAsiaTheme="majorEastAsia" w:hAnsiTheme="majorHAnsi" w:cstheme="majorBidi"/>
          <w:b/>
          <w:bCs/>
          <w:color w:val="365F91" w:themeColor="accent1" w:themeShade="BF"/>
          <w:sz w:val="28"/>
          <w:szCs w:val="28"/>
          <w:lang w:eastAsia="ja-JP"/>
        </w:rPr>
        <w:t>Data for global and regional monitoring</w:t>
      </w:r>
      <w:bookmarkEnd w:id="58"/>
    </w:p>
    <w:p w:rsidR="0053757E" w:rsidRPr="0053757E" w:rsidRDefault="0053757E" w:rsidP="0053757E">
      <w:pPr>
        <w:rPr>
          <w:rFonts w:asciiTheme="minorHAnsi" w:eastAsia="MS Mincho" w:hAnsiTheme="minorHAnsi"/>
          <w:color w:val="auto"/>
          <w:lang w:eastAsia="ja-JP"/>
        </w:rPr>
      </w:pPr>
      <w:r w:rsidRPr="0053757E">
        <w:rPr>
          <w:rFonts w:asciiTheme="minorHAnsi" w:eastAsia="MS Mincho" w:hAnsiTheme="minorHAnsi"/>
          <w:color w:val="auto"/>
          <w:lang w:eastAsia="ja-JP"/>
        </w:rPr>
        <w:t>ITU produces regional and global aggregates for the ‘</w:t>
      </w:r>
      <w:r w:rsidRPr="0053757E">
        <w:rPr>
          <w:rFonts w:asciiTheme="minorHAnsi" w:eastAsia="MS Mincho" w:hAnsiTheme="minorHAnsi" w:cs="Calibri,Bold"/>
          <w:i/>
          <w:iCs/>
          <w:color w:val="auto"/>
          <w:lang w:val="en-US"/>
        </w:rPr>
        <w:t>percentage of the population covered by a mobile network</w:t>
      </w:r>
      <w:r w:rsidRPr="0053757E">
        <w:rPr>
          <w:rFonts w:asciiTheme="minorHAnsi" w:eastAsia="MS Mincho" w:hAnsiTheme="minorHAnsi" w:cs="Calibri,Bold"/>
          <w:color w:val="auto"/>
          <w:lang w:val="en-US"/>
        </w:rPr>
        <w:t xml:space="preserve">, </w:t>
      </w:r>
      <w:r w:rsidRPr="0053757E">
        <w:rPr>
          <w:rFonts w:asciiTheme="minorHAnsi" w:eastAsia="MS Mincho" w:hAnsiTheme="minorHAnsi" w:cs="Calibri,Bold"/>
          <w:i/>
          <w:iCs/>
          <w:color w:val="auto"/>
          <w:lang w:val="en-US"/>
        </w:rPr>
        <w:t>broken down by technology</w:t>
      </w:r>
      <w:r w:rsidRPr="0053757E">
        <w:rPr>
          <w:rFonts w:asciiTheme="minorHAnsi" w:eastAsia="MS Mincho" w:hAnsiTheme="minorHAnsi"/>
          <w:color w:val="auto"/>
          <w:lang w:val="en-US"/>
        </w:rPr>
        <w:t xml:space="preserve">. </w:t>
      </w:r>
    </w:p>
    <w:p w:rsidR="0053757E" w:rsidRPr="0053757E" w:rsidRDefault="0053757E" w:rsidP="0053757E">
      <w:pPr>
        <w:autoSpaceDE w:val="0"/>
        <w:autoSpaceDN w:val="0"/>
        <w:adjustRightInd w:val="0"/>
        <w:rPr>
          <w:rFonts w:asciiTheme="minorHAnsi" w:eastAsia="MS Mincho" w:hAnsiTheme="minorHAnsi"/>
          <w:color w:val="auto"/>
          <w:highlight w:val="yellow"/>
          <w:lang w:eastAsia="ja-JP"/>
        </w:rPr>
      </w:pPr>
    </w:p>
    <w:p w:rsidR="0053757E" w:rsidRPr="0053757E" w:rsidRDefault="0053757E" w:rsidP="0053757E">
      <w:pPr>
        <w:autoSpaceDE w:val="0"/>
        <w:autoSpaceDN w:val="0"/>
        <w:adjustRightInd w:val="0"/>
        <w:rPr>
          <w:rFonts w:asciiTheme="minorHAnsi" w:eastAsia="MS Mincho" w:hAnsiTheme="minorHAnsi"/>
          <w:color w:val="auto"/>
          <w:lang w:eastAsia="ja-JP"/>
        </w:rPr>
      </w:pPr>
      <w:r w:rsidRPr="0053757E">
        <w:rPr>
          <w:rFonts w:asciiTheme="minorHAnsi" w:eastAsia="MS Mincho" w:hAnsiTheme="minorHAnsi"/>
          <w:color w:val="auto"/>
          <w:lang w:eastAsia="ja-JP"/>
        </w:rPr>
        <w:t xml:space="preserve">Year-end data are released in December of the following year through the ITU World Telecommunication/ICT Indicators Database. </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9" w:name="_Toc419471272"/>
      <w:r w:rsidRPr="0053757E">
        <w:rPr>
          <w:rFonts w:asciiTheme="majorHAnsi" w:eastAsiaTheme="majorEastAsia" w:hAnsiTheme="majorHAnsi" w:cstheme="majorBidi"/>
          <w:b/>
          <w:bCs/>
          <w:color w:val="365F91" w:themeColor="accent1" w:themeShade="BF"/>
          <w:sz w:val="28"/>
          <w:szCs w:val="28"/>
          <w:lang w:eastAsia="ja-JP"/>
        </w:rPr>
        <w:t>References:</w:t>
      </w:r>
      <w:bookmarkEnd w:id="59"/>
    </w:p>
    <w:p w:rsidR="0053757E" w:rsidRPr="0053757E" w:rsidRDefault="0053757E" w:rsidP="0053757E">
      <w:pPr>
        <w:numPr>
          <w:ilvl w:val="0"/>
          <w:numId w:val="4"/>
        </w:numPr>
        <w:contextualSpacing/>
        <w:rPr>
          <w:rFonts w:asciiTheme="minorHAnsi" w:eastAsia="MS Mincho" w:hAnsiTheme="minorHAnsi"/>
          <w:color w:val="auto"/>
          <w:sz w:val="22"/>
          <w:szCs w:val="22"/>
          <w:lang w:eastAsia="ja-JP"/>
        </w:rPr>
      </w:pPr>
      <w:hyperlink r:id="rId12" w:history="1">
        <w:r w:rsidRPr="0053757E">
          <w:rPr>
            <w:rFonts w:asciiTheme="minorHAnsi" w:eastAsia="MS Mincho" w:hAnsiTheme="minorHAnsi" w:cs="Segoe UI"/>
            <w:color w:val="auto"/>
            <w:lang w:val="en-US" w:eastAsia="ja-JP"/>
          </w:rPr>
          <w:t>ITU Handbook for the collection of Administrative Data on Telecommunications/ICT</w:t>
        </w:r>
      </w:hyperlink>
      <w:r w:rsidRPr="0053757E">
        <w:rPr>
          <w:rFonts w:asciiTheme="minorHAnsi" w:eastAsia="MS Mincho" w:hAnsiTheme="minorHAnsi" w:cs="Segoe UI"/>
          <w:color w:val="auto"/>
          <w:lang w:val="en-US" w:eastAsia="ja-JP"/>
        </w:rPr>
        <w:t>, 2011 (and revisions and new indicators)</w:t>
      </w:r>
    </w:p>
    <w:p w:rsidR="0053757E" w:rsidRPr="0053757E" w:rsidRDefault="0053757E" w:rsidP="0053757E">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60" w:name="_Toc419471273"/>
      <w:r w:rsidRPr="0053757E">
        <w:rPr>
          <w:rFonts w:asciiTheme="majorHAnsi" w:eastAsiaTheme="majorEastAsia" w:hAnsiTheme="majorHAnsi" w:cstheme="majorBidi"/>
          <w:b/>
          <w:bCs/>
          <w:color w:val="365F91" w:themeColor="accent1" w:themeShade="BF"/>
          <w:sz w:val="28"/>
          <w:szCs w:val="28"/>
          <w:lang w:eastAsia="ja-JP"/>
        </w:rPr>
        <w:t>Targets for which indicator are relevant:</w:t>
      </w:r>
      <w:bookmarkEnd w:id="60"/>
    </w:p>
    <w:p w:rsidR="0053757E" w:rsidRPr="0053757E" w:rsidRDefault="0053757E" w:rsidP="0053757E">
      <w:pPr>
        <w:contextualSpacing/>
        <w:rPr>
          <w:rFonts w:asciiTheme="minorHAnsi" w:eastAsia="MS Mincho" w:hAnsiTheme="minorHAnsi"/>
          <w:color w:val="auto"/>
          <w:lang w:eastAsia="ja-JP"/>
        </w:rPr>
      </w:pPr>
      <w:r w:rsidRPr="0053757E">
        <w:rPr>
          <w:rFonts w:asciiTheme="minorHAnsi" w:eastAsia="MS Mincho" w:hAnsiTheme="minorHAnsi"/>
          <w:color w:val="auto"/>
          <w:lang w:eastAsia="ja-JP"/>
        </w:rPr>
        <w:t xml:space="preserve">1.4, 2.3, 2.c, 9.1, 11.b, 13.1, </w:t>
      </w:r>
    </w:p>
    <w:p w:rsidR="0053757E" w:rsidRPr="0053757E" w:rsidRDefault="0053757E" w:rsidP="0053757E">
      <w:pPr>
        <w:contextualSpacing/>
        <w:rPr>
          <w:rFonts w:asciiTheme="minorHAnsi" w:eastAsia="MS Mincho" w:hAnsiTheme="minorHAnsi"/>
          <w:color w:val="auto"/>
          <w:lang w:eastAsia="ja-JP"/>
        </w:rPr>
      </w:pPr>
    </w:p>
    <w:p w:rsidR="0035634B" w:rsidRDefault="0035634B">
      <w:bookmarkStart w:id="61" w:name="_GoBack"/>
      <w:bookmarkEnd w:id="61"/>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Italic">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2571B"/>
    <w:multiLevelType w:val="hybridMultilevel"/>
    <w:tmpl w:val="DD22EA4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6BF2B29"/>
    <w:multiLevelType w:val="hybridMultilevel"/>
    <w:tmpl w:val="DF08CB8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DD623CC"/>
    <w:multiLevelType w:val="hybridMultilevel"/>
    <w:tmpl w:val="1D024C1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44034C0"/>
    <w:multiLevelType w:val="hybridMultilevel"/>
    <w:tmpl w:val="E154F928"/>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57E"/>
    <w:rsid w:val="0035634B"/>
    <w:rsid w:val="00374D74"/>
    <w:rsid w:val="00537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D/Statistics/Pages/publications/manual2014.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tu.int/ITU-D/ict/" TargetMode="External"/><Relationship Id="rId12" Type="http://schemas.openxmlformats.org/officeDocument/2006/relationships/hyperlink" Target="http://www.itu.int/en/ITU-D/Statistics/Pages/publications/handbook.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u.int/en/ITU-D/Statistics/Pages/publications/manual2014.aspx" TargetMode="External"/><Relationship Id="rId11" Type="http://schemas.openxmlformats.org/officeDocument/2006/relationships/hyperlink" Target="http://www.itu.int/en/ITU-D/Statistics/Pages/publications/mis2014.aspx" TargetMode="External"/><Relationship Id="rId5" Type="http://schemas.openxmlformats.org/officeDocument/2006/relationships/webSettings" Target="webSettings.xml"/><Relationship Id="rId10" Type="http://schemas.openxmlformats.org/officeDocument/2006/relationships/hyperlink" Target="http://www.itu.int/en/ITU-D/Statistics/Pages/datacollection/default.aspx" TargetMode="External"/><Relationship Id="rId4" Type="http://schemas.openxmlformats.org/officeDocument/2006/relationships/settings" Target="settings.xml"/><Relationship Id="rId9" Type="http://schemas.openxmlformats.org/officeDocument/2006/relationships/hyperlink" Target="http://www.itu.int/en/ITU-D/Statistics/Pages/publications/handbook.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3090</Words>
  <Characters>17613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2015-05-19T19:16:00Z</dcterms:created>
  <dcterms:modified xsi:type="dcterms:W3CDTF">2015-05-19T19:17:00Z</dcterms:modified>
</cp:coreProperties>
</file>